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СИЛЛАБУС</w:t>
      </w:r>
    </w:p>
    <w:p>
      <w:pPr>
        <w:pStyle w:val="Normal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КЕШЕНДІ КЛИНИКАЛЫҚ ДИАГНОСТИКА КУРСЫ</w:t>
      </w:r>
    </w:p>
    <w:p>
      <w:pPr>
        <w:pStyle w:val="Normal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ИНТЕГРИРОВАННЫЙ КУРС КЛИНИЧЕСКОЙ ДИАГНОСТИКИ</w:t>
      </w:r>
    </w:p>
    <w:p>
      <w:pPr>
        <w:pStyle w:val="Normal1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INTEGRATED CLINICAL DIAGNOSIS COURSE</w:t>
      </w:r>
    </w:p>
    <w:tbl>
      <w:tblPr>
        <w:tblStyle w:val="Table1"/>
        <w:tblW w:w="9923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422"/>
        <w:gridCol w:w="140"/>
        <w:gridCol w:w="820"/>
        <w:gridCol w:w="44"/>
        <w:gridCol w:w="284"/>
        <w:gridCol w:w="283"/>
        <w:gridCol w:w="575"/>
        <w:gridCol w:w="417"/>
        <w:gridCol w:w="249"/>
        <w:gridCol w:w="462"/>
        <w:gridCol w:w="416"/>
        <w:gridCol w:w="139"/>
        <w:gridCol w:w="155"/>
        <w:gridCol w:w="415"/>
        <w:gridCol w:w="136"/>
        <w:gridCol w:w="574"/>
        <w:gridCol w:w="866"/>
        <w:gridCol w:w="3526"/>
      </w:tblGrid>
      <w:tr>
        <w:trPr/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936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Общая информация о дисциплине</w:t>
            </w:r>
          </w:p>
        </w:tc>
      </w:tr>
      <w:tr>
        <w:trPr/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2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Факультет/школа: 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Медицины и здравоохранения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Кредиты (ECTS): 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a) 12 кредитов - 360 часов</w:t>
            </w:r>
          </w:p>
        </w:tc>
      </w:tr>
      <w:tr>
        <w:trPr>
          <w:trHeight w:val="425" w:hRule="atLeast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2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Образовательная программа (ОП): 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6B10114 МЕДИЦИНА 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6B10114 МЕДИЦИНА 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6B10114 MEDICINE 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Пререквизиты: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Жүйелердің патологиясы-2/ Патология органов и систем-2/Pathology  of organ's and systems-2 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u w:val="single"/>
              </w:rPr>
              <w:t>Постреквизиты: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Инфектология модулі/ Модуль Инфектология/  Infectology module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Фтизитария/Фтизиатрия/Phtisiatry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Дерматовенерология/Дерматовенерология/ Dermatovenerology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Тропикалық аурулар/ Тропические болезни/Tropical diseases</w:t>
            </w:r>
          </w:p>
        </w:tc>
      </w:tr>
      <w:tr>
        <w:trPr/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2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Агентство и год аккредитации ОП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НААР 2021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СРС/СРМ/СРД (кол-во):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60 часов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1.4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yellow"/>
              </w:rPr>
            </w:r>
          </w:p>
        </w:tc>
        <w:tc>
          <w:tcPr>
            <w:tcW w:w="42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Название дисциплины: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Кешенді клиникалық диагностика курсы/Интегрированный курс клинической диагностики/Integrated clinical diagnosis course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СРСП/СРМП/СРДП (кол-во):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60 часов</w:t>
            </w:r>
          </w:p>
        </w:tc>
      </w:tr>
      <w:tr>
        <w:trPr/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42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ID дисциплины:    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90565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Код дисциплины:  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IKKD4320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</w:rPr>
              <w:t>Обязательный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- да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936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Описание дисциплины</w:t>
            </w:r>
          </w:p>
        </w:tc>
      </w:tr>
      <w:tr>
        <w:trPr/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36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В ходе изучения курса сформировать у студентов способности: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сформировать навыки выявления, интерпретации и критической оценки информации, полученной в ходе обследования пациента с ключевыми клиническими синдромами составлять план диагностики и лечения, принимать профессиональные решения на основе анализа рациональности диагностики и применяя принципы доказательной и персонализированной медицины</w:t>
            </w:r>
          </w:p>
        </w:tc>
      </w:tr>
      <w:tr>
        <w:trPr/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36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Цель дисциплины </w:t>
            </w:r>
          </w:p>
        </w:tc>
      </w:tr>
      <w:tr>
        <w:trPr/>
        <w:tc>
          <w:tcPr>
            <w:tcW w:w="992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сформировать навыки выявления, интерпретации и критической оценки информации, полученной в ходе обследования пациента с ключевыми клиническими синдромами составлять план диагностики и лечения, принимать профессиональные решения на основе анализа рациональности диагностики и применяя принципы доказательной и персонализированной медицины</w:t>
            </w:r>
          </w:p>
        </w:tc>
      </w:tr>
      <w:tr>
        <w:trPr/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936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Результаты обучения (РО) по дисциплине (3-5)</w:t>
            </w:r>
          </w:p>
        </w:tc>
      </w:tr>
      <w:tr>
        <w:trPr/>
        <w:tc>
          <w:tcPr>
            <w:tcW w:w="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2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РО дисциплины 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РО по образовательной программе, 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с которым связан РО по дисциплине 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(№ РО из паспорта ОП)</w:t>
            </w:r>
          </w:p>
        </w:tc>
      </w:tr>
      <w:tr>
        <w:trPr/>
        <w:tc>
          <w:tcPr>
            <w:tcW w:w="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 применять знания базовых и клинических дисциплин для выявления, интерпретации и критической оценки информации, полученной в ходе обследования пациента с ключевыми клиническими синдромами (лихорадка, боль в груди, синкопе и т.д.) с позиций междисциплинарного подхода;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Уровень владения - 3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3"/>
              </w:numPr>
              <w:pBdr/>
              <w:shd w:val="clear" w:fill="FFFFFF"/>
              <w:tabs>
                <w:tab w:val="clear" w:pos="720"/>
                <w:tab w:val="left" w:pos="31" w:leader="none"/>
                <w:tab w:val="left" w:pos="884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240"/>
              <w:ind w:left="391" w:right="0" w:hanging="36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применять знания базовых и клинических дисциплин для выявления, интерпретации и критической оценки информации, полученной в ходе обследования пациента с ключевыми клиническими синдромами (лихорадка, боль в груди, синкопе и т.д.) с позиций междисциплинарного подхода;</w:t>
            </w:r>
          </w:p>
        </w:tc>
      </w:tr>
      <w:tr>
        <w:trPr/>
        <w:tc>
          <w:tcPr>
            <w:tcW w:w="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5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3"/>
              </w:numPr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интерпретировать, анализировать, оценивать и определять приоритетность соответствующих данных для составления плана диагностики и управления заболеванием, применять эти знания для решения проблемы дифференциальной диагностики;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Уровень владения - 3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2"/>
              </w:numPr>
              <w:pBdr/>
              <w:shd w:val="clear" w:fill="FFFFFF"/>
              <w:tabs>
                <w:tab w:val="clear" w:pos="720"/>
                <w:tab w:val="left" w:pos="31" w:leader="none"/>
                <w:tab w:val="left" w:pos="884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240"/>
              <w:ind w:left="314" w:right="0" w:hanging="36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интерпретировать, анализировать, оценивать и определять приоритетность соответствующих данных для составления плана диагностики и управления заболеванием, применять эти знания для решения проблемы дифференциальной диагностики;</w:t>
            </w:r>
          </w:p>
        </w:tc>
      </w:tr>
      <w:tr>
        <w:trPr/>
        <w:tc>
          <w:tcPr>
            <w:tcW w:w="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5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принимать профессиональные решения на основе анализа рациональности диагностики и применяя принципы доказательной и персонализированной медицины;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Уровень владения - 2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2"/>
              </w:numPr>
              <w:pBdr/>
              <w:shd w:val="clear" w:fill="auto"/>
              <w:tabs>
                <w:tab w:val="clear" w:pos="720"/>
                <w:tab w:val="left" w:pos="31" w:leader="none"/>
                <w:tab w:val="left" w:pos="884" w:leader="none"/>
              </w:tabs>
              <w:spacing w:lineRule="auto" w:line="240" w:before="0" w:after="240"/>
              <w:ind w:left="314" w:right="0" w:hanging="36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принимать профессиональные решения на основе анализа рациональности диагностики и применяя принципы доказательной и персонализированной медицины; </w:t>
            </w:r>
          </w:p>
        </w:tc>
      </w:tr>
      <w:tr>
        <w:trPr/>
        <w:tc>
          <w:tcPr>
            <w:tcW w:w="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5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4. интегрировать клинические знания и навыки для обеспечения индивидуального подхода при лечении конкретного больного и укреплении его здоровья в соответствии с его потребностями;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Уровень владения - 3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2"/>
              </w:numPr>
              <w:pBdr/>
              <w:shd w:val="clear" w:fill="auto"/>
              <w:tabs>
                <w:tab w:val="clear" w:pos="720"/>
                <w:tab w:val="left" w:pos="31" w:leader="none"/>
                <w:tab w:val="left" w:pos="884" w:leader="none"/>
              </w:tabs>
              <w:spacing w:lineRule="auto" w:line="240" w:before="0" w:after="240"/>
              <w:ind w:left="314" w:right="0" w:hanging="36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интегрировать клинические знания и навыки для обеспечения индивидуального подхода при лечении конкретного больного и укреплении его здоровья в соответствии с его потребностями; </w:t>
            </w:r>
          </w:p>
        </w:tc>
      </w:tr>
      <w:tr>
        <w:trPr/>
        <w:tc>
          <w:tcPr>
            <w:tcW w:w="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5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 эффективно собирать, передавать и сохранять медицинскую информацию в устной и письменной форме для оказания безопасной и эффективной помощи пациентам;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Уровень владения - 3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2"/>
              </w:numPr>
              <w:pBdr/>
              <w:shd w:val="clear" w:fill="FFFFFF"/>
              <w:tabs>
                <w:tab w:val="clear" w:pos="720"/>
                <w:tab w:val="left" w:pos="31" w:leader="none"/>
                <w:tab w:val="left" w:pos="884" w:leader="none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left="314" w:right="0" w:hanging="36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эффективно собирать, передавать и сохранять медицинскую информацию в устной и письменной форме для оказания безопасной и эффективной помощи пациентам;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 xml:space="preserve"> </w:t>
            </w:r>
          </w:p>
        </w:tc>
      </w:tr>
      <w:tr>
        <w:trPr/>
        <w:tc>
          <w:tcPr>
            <w:tcW w:w="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5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 демонстрировать коммуникативные навыки при работе с пациентами и законными представителями; навыки работы в команде, организации и управления диагностическим и лечебным процессом;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Уровень владения - 2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2"/>
              </w:numPr>
              <w:pBdr/>
              <w:shd w:val="clear" w:fill="auto"/>
              <w:spacing w:lineRule="auto" w:line="240" w:before="0" w:after="0"/>
              <w:ind w:left="314" w:right="0" w:hanging="36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демонстрировать коммуникативные навыки при работе с пациентами и законными представителями; навыки работы в команде, организации и управления диагностическим и лечебным процессом;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 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Уровень владения - 3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2"/>
              </w:numPr>
              <w:pBdr/>
              <w:shd w:val="clear" w:fill="auto"/>
              <w:spacing w:lineRule="auto" w:line="240" w:before="0" w:after="0"/>
              <w:ind w:left="314" w:right="0" w:hanging="36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конфиденциальности;</w:t>
            </w:r>
          </w:p>
        </w:tc>
      </w:tr>
      <w:tr>
        <w:trPr>
          <w:trHeight w:val="1620" w:hRule="atLeast"/>
        </w:trPr>
        <w:tc>
          <w:tcPr>
            <w:tcW w:w="5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5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8. 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деятельности.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Уровень владения - 2</w:t>
            </w: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2"/>
              </w:numPr>
              <w:pBdr/>
              <w:shd w:val="clear" w:fill="FFFFFF"/>
              <w:tabs>
                <w:tab w:val="clear" w:pos="720"/>
                <w:tab w:val="left" w:pos="360" w:leader="none"/>
                <w:tab w:val="left" w:pos="572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ind w:left="314" w:right="0" w:hanging="36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деятельности.</w:t>
            </w:r>
          </w:p>
        </w:tc>
      </w:tr>
      <w:tr>
        <w:trPr/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936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Методы суммативного оценивания </w:t>
            </w: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  <w:t xml:space="preserve">(отметьте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(да – нет) / </w:t>
            </w: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  <w:t>укажите свои)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5.1 </w:t>
            </w:r>
          </w:p>
        </w:tc>
        <w:tc>
          <w:tcPr>
            <w:tcW w:w="42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Проведение PBL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5.5 </w:t>
            </w:r>
          </w:p>
        </w:tc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Портфолио научных работ</w:t>
            </w:r>
          </w:p>
        </w:tc>
      </w:tr>
      <w:tr>
        <w:trPr/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5.2 </w:t>
            </w:r>
          </w:p>
        </w:tc>
        <w:tc>
          <w:tcPr>
            <w:tcW w:w="42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Сдача практических навыков – миниклинический экзамен (MiniCex) для 4 курса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5.6 </w:t>
            </w:r>
          </w:p>
        </w:tc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C2D2E"/>
                <w:sz w:val="24"/>
                <w:szCs w:val="24"/>
              </w:rPr>
              <w:t>Курация, клинические навыки</w:t>
            </w:r>
          </w:p>
        </w:tc>
      </w:tr>
      <w:tr>
        <w:trPr/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5.3 </w:t>
            </w:r>
          </w:p>
        </w:tc>
        <w:tc>
          <w:tcPr>
            <w:tcW w:w="42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3. СРС </w:t>
            </w:r>
            <w:r>
              <w:rPr>
                <w:rFonts w:eastAsia="Times New Roman" w:cs="Times New Roman" w:ascii="Times New Roman" w:hAnsi="Times New Roman"/>
                <w:color w:val="2C2D2E"/>
                <w:sz w:val="24"/>
                <w:szCs w:val="24"/>
              </w:rPr>
              <w:t xml:space="preserve">(кейс, видео, симуляция ИЛИ НИРС – тезис, доклад, статья)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– оценка творческого задания. 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5.7 </w:t>
            </w:r>
          </w:p>
        </w:tc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Рубежный контроль: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 этап - Тестирование по MCQ на понимание и применение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 этап – сдача практических навыков (миниклинический экзамен (MiniCex) для 4 курса)</w:t>
            </w:r>
          </w:p>
        </w:tc>
      </w:tr>
      <w:tr>
        <w:trPr/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5.4 </w:t>
            </w:r>
          </w:p>
        </w:tc>
        <w:tc>
          <w:tcPr>
            <w:tcW w:w="42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История болезни - для 4 курса</w:t>
            </w: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5.8 </w:t>
            </w:r>
          </w:p>
        </w:tc>
        <w:tc>
          <w:tcPr>
            <w:tcW w:w="4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Экзамен: 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 этап - Тестирование по MCQ на понимание и применение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 этап - ОСКЭ</w:t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950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Подробная информация о дисциплине</w:t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32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Академический год: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2024-2025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Расписание (дни занятий, время):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 8.00 по 14.30</w:t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32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Семестр: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7-8 семестр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Место 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(учебный корпус, кабинет, платформа и ссылка на собрание обучении с применением ДОТ):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ГКБ №1, ГКБ №7</w:t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950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Лидер дисциплины</w:t>
            </w:r>
          </w:p>
        </w:tc>
      </w:tr>
      <w:tr>
        <w:trPr/>
        <w:tc>
          <w:tcPr>
            <w:tcW w:w="19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Кафедра</w:t>
            </w:r>
          </w:p>
        </w:tc>
        <w:tc>
          <w:tcPr>
            <w:tcW w:w="1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Контактная информация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(тел., e-mail)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Консультации перед экзаменами</w:t>
            </w:r>
          </w:p>
        </w:tc>
      </w:tr>
      <w:tr>
        <w:trPr/>
        <w:tc>
          <w:tcPr>
            <w:tcW w:w="19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17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Кузенбаева Д.Д.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Клинических дисциплин</w:t>
            </w:r>
          </w:p>
        </w:tc>
        <w:tc>
          <w:tcPr>
            <w:tcW w:w="1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 (701)945-00-88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Перед экзаменационной сессий в рамках 60 минут</w:t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950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Содержание дисциплины</w:t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Форма проведения</w:t>
            </w:r>
          </w:p>
        </w:tc>
      </w:tr>
      <w:tr>
        <w:trPr>
          <w:trHeight w:val="62" w:hRule="atLeast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6"/>
              </w:numPr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Катар верхних дыхательных путей</w:t>
            </w:r>
          </w:p>
        </w:tc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Формативное оценивание: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1. Использование активных методов обучения: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РBL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Работа с пациентом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Мини-конференция темы СРС</w:t>
            </w:r>
          </w:p>
        </w:tc>
      </w:tr>
      <w:tr>
        <w:trPr>
          <w:trHeight w:val="60" w:hRule="atLeast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6"/>
              </w:numPr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Стридор и обструкция</w:t>
            </w:r>
          </w:p>
        </w:tc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Формативное оценивание: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1. Использование активных методов обучения: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РBL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Работа с пациентом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Мини-конференция темы СРС</w:t>
            </w:r>
          </w:p>
        </w:tc>
      </w:tr>
      <w:tr>
        <w:trPr>
          <w:trHeight w:val="60" w:hRule="atLeast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6"/>
              </w:numPr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Одышка</w:t>
            </w:r>
          </w:p>
        </w:tc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Формативное оценивание: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1. Использование активных методов обучения: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РBL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Работа с пациентом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Мини-конференция темы СРС</w:t>
            </w:r>
          </w:p>
        </w:tc>
      </w:tr>
      <w:tr>
        <w:trPr>
          <w:trHeight w:val="60" w:hRule="atLeast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6"/>
              </w:numPr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Лихорадка</w:t>
            </w:r>
          </w:p>
        </w:tc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Формативное оценивание: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1. Использование активных методов обучения: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РBL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Работа с пациентом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Мини-конференция темы СРС</w:t>
            </w:r>
          </w:p>
        </w:tc>
      </w:tr>
      <w:tr>
        <w:trPr>
          <w:trHeight w:val="1190" w:hRule="atLeast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6"/>
              </w:numPr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AFA" w:val="clear"/>
              </w:rPr>
              <w:t>Синкопе. Шок</w:t>
            </w:r>
          </w:p>
        </w:tc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Формативное оценивание: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1. Использование активных методов обучения: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РBL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Работа с пациентом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Мини-конференция темы СРС</w:t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6"/>
              </w:numPr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AFA" w:val="clear"/>
              </w:rPr>
              <w:t>Артериальная гипертензия</w:t>
            </w:r>
          </w:p>
        </w:tc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Формативное оценивание: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1. Использование активных методов обучения: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РBL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Работа с пациентом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Мини-конференция темы СРС</w:t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6"/>
              </w:numPr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Боль в груди</w:t>
            </w:r>
          </w:p>
        </w:tc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Формативное оценивание: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1. Использование активных методов обучения: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РBL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Работа с пациентом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Мини-конференция темы СРС</w:t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6"/>
              </w:numPr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Отеки</w:t>
            </w:r>
          </w:p>
        </w:tc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Формативное оценивание: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1. Использование активных методов обучения: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РBL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Работа с пациентом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Мини-конференция темы СРС</w:t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6"/>
              </w:numPr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shd w:fill="FFFAFA" w:val="clear"/>
              </w:rPr>
              <w:t>Боль в животе.  Диарея</w:t>
            </w:r>
          </w:p>
        </w:tc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Формативное оценивание: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1. Использование активных методов обучения: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РBL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Работа с пациентом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Мини-конференция темы СРС</w:t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6"/>
              </w:numPr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Синдром желтухи и гепатита</w:t>
            </w:r>
          </w:p>
        </w:tc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Формативное оценивание: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1. Использование активных методов обучения: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РBL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Работа с пациентом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Мини-конференция темы СРС</w:t>
            </w:r>
          </w:p>
        </w:tc>
      </w:tr>
      <w:tr>
        <w:trPr/>
        <w:tc>
          <w:tcPr>
            <w:tcW w:w="2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Рубежный контроль 1</w:t>
            </w:r>
          </w:p>
        </w:tc>
        <w:tc>
          <w:tcPr>
            <w:tcW w:w="73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Суммативное оценивание: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 этапа: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1-й этап – тестирование по MCQ на понимание и применение - 40%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2-й этап – мини клинический экзамен (MiniCex) - 60%</w:t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6"/>
              </w:numPr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left" w:pos="1245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AFAFA" w:val="clear"/>
              </w:rPr>
              <w:t xml:space="preserve">Диабет (гипергликемия).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Нарушение кислотно-щелочного состояния</w:t>
            </w:r>
          </w:p>
        </w:tc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Формативное оценивание: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1. Использование активных методов обучения: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РBL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Работа с пациентом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Мини-конференция темы СРС</w:t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6"/>
              </w:numPr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AFAFA" w:val="clear"/>
              </w:rPr>
              <w:t>Гипернатриемия и гипонатриемия.  Гиперкальциемия</w:t>
            </w:r>
          </w:p>
        </w:tc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Формативное оценивание: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1. Использование активных методов обучения: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РBL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Работа с пациентом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Мини-конференция темы СРС</w:t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6"/>
              </w:numPr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AFAFA" w:val="clear"/>
              </w:rPr>
              <w:t>Анемия</w:t>
            </w:r>
          </w:p>
        </w:tc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Формативное оценивание: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1. Использование активных методов обучения: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РBL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Работа с пациентом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Мини-конференция темы СРС</w:t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6"/>
              </w:numPr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AFAFA" w:val="clear"/>
              </w:rPr>
              <w:t xml:space="preserve">Суставной синдром.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Боль в спине</w:t>
            </w:r>
          </w:p>
        </w:tc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Формативное оценивание: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1. Использование активных методов обучения: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РBL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Работа с пациентом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Мини-конференция темы СРС</w:t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6"/>
              </w:numPr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AFAFA" w:val="clear"/>
              </w:rPr>
              <w:t>Резкая потеря веса</w:t>
            </w:r>
          </w:p>
        </w:tc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Формативное оценивание: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1. Использование активных методов обучения: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РBL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Работа с пациентом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Мини-конференция темы СРС</w:t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6"/>
              </w:numPr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Острое почечное повреждение</w:t>
            </w:r>
          </w:p>
        </w:tc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Формативное оценивание: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1. Использование активных методов обучения: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РBL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Работа с пациентом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Мини-конференция темы СРС</w:t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6"/>
              </w:numPr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left" w:pos="945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AFAFA" w:val="clear"/>
              </w:rPr>
              <w:t>Головная боль</w:t>
            </w:r>
          </w:p>
        </w:tc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Формативное оценивание: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1. Использование активных методов обучения: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РBL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Работа с пациентом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Мини-конференция темы СРС</w:t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6"/>
              </w:numPr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Делирий</w:t>
            </w:r>
          </w:p>
        </w:tc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Формативное оценивание: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1. Использование активных методов обучения: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РBL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Работа с пациентом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Мини-конференция темы СРС</w:t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6"/>
              </w:numPr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Иммунодефицитное состояние, слабость Скрининг</w:t>
            </w:r>
          </w:p>
        </w:tc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Формативное оценивание: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1. Использование активных методов обучения: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РBL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Работа с пациентом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Мини-конференция темы СРС</w:t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6"/>
              </w:numPr>
              <w:pBdr/>
              <w:shd w:val="clear" w:fill="auto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r>
          </w:p>
        </w:tc>
        <w:tc>
          <w:tcPr>
            <w:tcW w:w="382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tabs>
                <w:tab w:val="clear" w:pos="720"/>
                <w:tab w:val="left" w:pos="93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Сыпь</w:t>
            </w:r>
          </w:p>
        </w:tc>
        <w:tc>
          <w:tcPr>
            <w:tcW w:w="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Формативное оценивание: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1. Использование активных методов обучения: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РBL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Работа с пациентом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Мини-конференция темы СРС</w:t>
            </w:r>
          </w:p>
        </w:tc>
      </w:tr>
      <w:tr>
        <w:trPr/>
        <w:tc>
          <w:tcPr>
            <w:tcW w:w="2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Рубежный контроль 2</w:t>
            </w:r>
          </w:p>
        </w:tc>
        <w:tc>
          <w:tcPr>
            <w:tcW w:w="73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Суммативное оценивание: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 этапа: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1-й этап – тестирование по MCQ на понимание и применение - 40%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2-й этап – мини клинический экзамен (MiniCex) - 60%</w:t>
            </w:r>
          </w:p>
        </w:tc>
      </w:tr>
      <w:tr>
        <w:trPr/>
        <w:tc>
          <w:tcPr>
            <w:tcW w:w="25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Итоговый контроль (экзамен)</w:t>
            </w:r>
          </w:p>
        </w:tc>
        <w:tc>
          <w:tcPr>
            <w:tcW w:w="73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Суммативное оценивание: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 этапа: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1-й этап – тестирование по MCQ на понимание и применение - 40%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2-й этап – ОСКЭ - 60%</w:t>
            </w:r>
          </w:p>
        </w:tc>
      </w:tr>
      <w:tr>
        <w:trPr/>
        <w:tc>
          <w:tcPr>
            <w:tcW w:w="639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100</w:t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9. </w:t>
            </w:r>
          </w:p>
        </w:tc>
        <w:tc>
          <w:tcPr>
            <w:tcW w:w="950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Методы обучения по дисциплине 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(кратко опишите подходы к преподаванию и обучению, которые будут использованы в преподавании)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Использование активных методов обучения: PBL</w:t>
            </w:r>
          </w:p>
        </w:tc>
      </w:tr>
      <w:tr>
        <w:trPr>
          <w:trHeight w:val="150" w:hRule="atLeast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0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Методы формативного оценивания: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РBL – Problem Based Learning (</w:t>
            </w:r>
            <w:hyperlink r:id="rId2">
              <w:r>
                <w:rPr>
                  <w:rFonts w:eastAsia="Times New Roman" w:cs="Times New Roman" w:ascii="Times New Roman" w:hAnsi="Times New Roman"/>
                  <w:sz w:val="24"/>
                  <w:szCs w:val="24"/>
                </w:rPr>
                <w:t>https://www.queensu.ca/ctl/resources/instructional-strategies/problem-based-learning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)</w:t>
            </w:r>
          </w:p>
        </w:tc>
      </w:tr>
      <w:tr>
        <w:trPr>
          <w:trHeight w:val="150" w:hRule="atLeast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0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Методы суммативного оценивания (из пункта 5):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 Тестирование по MCQ на понимание и применение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Сдача практических навыков – миниклинический экзамен (MiniCex) для 4 курса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3. СРС </w:t>
            </w:r>
            <w:r>
              <w:rPr>
                <w:rFonts w:eastAsia="Times New Roman" w:cs="Times New Roman" w:ascii="Times New Roman" w:hAnsi="Times New Roman"/>
                <w:color w:val="2C2D2E"/>
                <w:sz w:val="24"/>
                <w:szCs w:val="24"/>
              </w:rPr>
              <w:t xml:space="preserve">(кейс, видео, симуляция ИЛИ НИРС – тезис, доклад, статья)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– оценка творческого задания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4. История болезни. </w:t>
            </w:r>
            <w:r>
              <w:rPr>
                <w:rFonts w:eastAsia="Times New Roman" w:cs="Times New Roman" w:ascii="Times New Roman" w:hAnsi="Times New Roman"/>
                <w:color w:val="2C2D2E"/>
                <w:sz w:val="24"/>
                <w:szCs w:val="24"/>
              </w:rPr>
              <w:t>Курация, клинические навыки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 Портфолио научных работ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 Оценка 360</w:t>
            </w:r>
          </w:p>
        </w:tc>
      </w:tr>
      <w:tr>
        <w:trPr/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10. </w:t>
            </w:r>
          </w:p>
        </w:tc>
        <w:tc>
          <w:tcPr>
            <w:tcW w:w="936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Суммативное оценивание </w:t>
            </w: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  <w:t>(укажите оценки)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Формы контроля </w:t>
            </w:r>
          </w:p>
        </w:tc>
        <w:tc>
          <w:tcPr>
            <w:tcW w:w="5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Вес в %  от общего %</w:t>
            </w:r>
          </w:p>
        </w:tc>
      </w:tr>
      <w:tr>
        <w:trPr>
          <w:trHeight w:val="151" w:hRule="atLeast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C2D2E"/>
                <w:sz w:val="24"/>
                <w:szCs w:val="24"/>
              </w:rPr>
              <w:t>История болезни</w:t>
            </w:r>
          </w:p>
        </w:tc>
        <w:tc>
          <w:tcPr>
            <w:tcW w:w="5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30%  (оценивается по чек-листу) </w:t>
            </w:r>
          </w:p>
        </w:tc>
      </w:tr>
      <w:tr>
        <w:trPr>
          <w:trHeight w:val="151" w:hRule="atLeast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C2D2E"/>
                <w:sz w:val="24"/>
                <w:szCs w:val="24"/>
              </w:rPr>
              <w:t>Рубежный контроль</w:t>
            </w:r>
          </w:p>
        </w:tc>
        <w:tc>
          <w:tcPr>
            <w:tcW w:w="5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70%  (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1-й этап – тестирование по MCQ на понимание и применение - 40%;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2-й этап - мини клинический экзамен (MiniCex) - 60%)</w:t>
            </w:r>
          </w:p>
        </w:tc>
      </w:tr>
      <w:tr>
        <w:trPr>
          <w:trHeight w:val="151" w:hRule="atLeast"/>
        </w:trPr>
        <w:tc>
          <w:tcPr>
            <w:tcW w:w="42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2C2D2E"/>
                <w:sz w:val="24"/>
                <w:szCs w:val="24"/>
              </w:rPr>
              <w:t>Итого РК1</w:t>
            </w:r>
          </w:p>
        </w:tc>
        <w:tc>
          <w:tcPr>
            <w:tcW w:w="5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30 + 70 = 100%</w:t>
            </w:r>
          </w:p>
        </w:tc>
      </w:tr>
      <w:tr>
        <w:trPr>
          <w:trHeight w:val="151" w:hRule="atLeast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История болезни</w:t>
            </w:r>
          </w:p>
        </w:tc>
        <w:tc>
          <w:tcPr>
            <w:tcW w:w="5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20%</w:t>
            </w:r>
          </w:p>
        </w:tc>
      </w:tr>
      <w:tr>
        <w:trPr>
          <w:trHeight w:val="151" w:hRule="atLeast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C2D2E"/>
                <w:sz w:val="24"/>
                <w:szCs w:val="24"/>
              </w:rPr>
              <w:t>Научная работа (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подготовка тематических сообщений для конференций, участие в СНО кафедры, выступления на конференциях, участие в работе, научно-практических конференций, симпозиумов и др.</w:t>
            </w:r>
            <w:r>
              <w:rPr>
                <w:rFonts w:eastAsia="Times New Roman" w:cs="Times New Roman" w:ascii="Times New Roman" w:hAnsi="Times New Roman"/>
                <w:color w:val="2C2D2E"/>
                <w:sz w:val="24"/>
                <w:szCs w:val="24"/>
              </w:rPr>
              <w:t>)</w:t>
            </w:r>
          </w:p>
        </w:tc>
        <w:tc>
          <w:tcPr>
            <w:tcW w:w="5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10%</w:t>
            </w:r>
          </w:p>
        </w:tc>
      </w:tr>
      <w:tr>
        <w:trPr>
          <w:trHeight w:val="151" w:hRule="atLeast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C2D2E"/>
                <w:sz w:val="24"/>
                <w:szCs w:val="24"/>
              </w:rPr>
              <w:t xml:space="preserve">Оценка 360 </w:t>
            </w:r>
          </w:p>
        </w:tc>
        <w:tc>
          <w:tcPr>
            <w:tcW w:w="5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10%</w:t>
            </w:r>
          </w:p>
        </w:tc>
      </w:tr>
      <w:tr>
        <w:trPr>
          <w:trHeight w:val="151" w:hRule="atLeast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C2D2E"/>
                <w:sz w:val="24"/>
                <w:szCs w:val="24"/>
              </w:rPr>
              <w:t>Рубежный контроль</w:t>
            </w:r>
          </w:p>
        </w:tc>
        <w:tc>
          <w:tcPr>
            <w:tcW w:w="5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60% 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1-й этап – тестирование по MCQ на понимание и применение - 40%;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2-й этап - мини клинический экзамен (MiniCex) - 60%)</w:t>
            </w:r>
          </w:p>
        </w:tc>
      </w:tr>
      <w:tr>
        <w:trPr>
          <w:trHeight w:val="151" w:hRule="atLeast"/>
        </w:trPr>
        <w:tc>
          <w:tcPr>
            <w:tcW w:w="425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2C2D2E"/>
                <w:sz w:val="24"/>
                <w:szCs w:val="24"/>
              </w:rPr>
              <w:t>Итого РК2</w:t>
            </w:r>
          </w:p>
        </w:tc>
        <w:tc>
          <w:tcPr>
            <w:tcW w:w="5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20 + 10 + 10 + 60 = 100%</w:t>
            </w:r>
          </w:p>
        </w:tc>
      </w:tr>
      <w:tr>
        <w:trPr>
          <w:trHeight w:val="151" w:hRule="atLeast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5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 этапа: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1-й этап – тестирование по MCQ на понимание и применение - 40%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2-й этап – ОСКЭ - 60%</w:t>
            </w:r>
          </w:p>
        </w:tc>
      </w:tr>
      <w:tr>
        <w:trPr>
          <w:trHeight w:val="151" w:hRule="atLeast"/>
        </w:trPr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Финальная оценка: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 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6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ОРД 60% + Экзамен 40% 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1-й этап – тестирование по MCQ на понимание и применение - 40%; 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2-й этап – ОСКЭ - 60%)</w:t>
            </w:r>
          </w:p>
        </w:tc>
      </w:tr>
      <w:tr>
        <w:trPr/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936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Оценка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151" w:hRule="atLeast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Оценка по буквенной системе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Цифровой 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эквивалент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Баллы 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(% содержание)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Описание оценки 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(изменения вносить только на уровне решения Академического комитета по качеству факультета)</w:t>
            </w:r>
          </w:p>
        </w:tc>
      </w:tr>
      <w:tr>
        <w:trPr>
          <w:trHeight w:val="150" w:hRule="atLeast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4,0 </w:t>
            </w:r>
          </w:p>
        </w:tc>
        <w:tc>
          <w:tcPr>
            <w:tcW w:w="1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95-100 </w:t>
            </w:r>
          </w:p>
        </w:tc>
        <w:tc>
          <w:tcPr>
            <w:tcW w:w="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Отлично.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Превосходит самые высокие стандарты задания.</w:t>
            </w:r>
          </w:p>
        </w:tc>
      </w:tr>
      <w:tr>
        <w:trPr>
          <w:trHeight w:val="150" w:hRule="atLeast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А-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3,67 </w:t>
            </w:r>
          </w:p>
        </w:tc>
        <w:tc>
          <w:tcPr>
            <w:tcW w:w="1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90-94 </w:t>
            </w:r>
          </w:p>
        </w:tc>
        <w:tc>
          <w:tcPr>
            <w:tcW w:w="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Отлично.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Соответствует самым высоким стандартам задания.</w:t>
            </w:r>
          </w:p>
        </w:tc>
      </w:tr>
      <w:tr>
        <w:trPr>
          <w:trHeight w:val="150" w:hRule="atLeast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В+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3,33 </w:t>
            </w:r>
          </w:p>
        </w:tc>
        <w:tc>
          <w:tcPr>
            <w:tcW w:w="1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85-89 </w:t>
            </w:r>
          </w:p>
        </w:tc>
        <w:tc>
          <w:tcPr>
            <w:tcW w:w="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Хорошо.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Очень хорошо. Соответствует высоким стандартам задания.</w:t>
            </w:r>
          </w:p>
        </w:tc>
      </w:tr>
      <w:tr>
        <w:trPr>
          <w:trHeight w:val="150" w:hRule="atLeast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3,0 </w:t>
            </w:r>
          </w:p>
        </w:tc>
        <w:tc>
          <w:tcPr>
            <w:tcW w:w="1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80-84 </w:t>
            </w:r>
          </w:p>
        </w:tc>
        <w:tc>
          <w:tcPr>
            <w:tcW w:w="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Хорошо.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Соответствует большинству стандартов задания.</w:t>
            </w:r>
          </w:p>
        </w:tc>
      </w:tr>
      <w:tr>
        <w:trPr>
          <w:trHeight w:val="150" w:hRule="atLeast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В-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2,67 </w:t>
            </w:r>
          </w:p>
        </w:tc>
        <w:tc>
          <w:tcPr>
            <w:tcW w:w="1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75-79 </w:t>
            </w:r>
          </w:p>
        </w:tc>
        <w:tc>
          <w:tcPr>
            <w:tcW w:w="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Хорошо.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Более чем достаточно. Показывает некоторое разумное владение материалом.</w:t>
            </w:r>
          </w:p>
        </w:tc>
      </w:tr>
      <w:tr>
        <w:trPr>
          <w:trHeight w:val="150" w:hRule="atLeast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С+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2,33 </w:t>
            </w:r>
          </w:p>
        </w:tc>
        <w:tc>
          <w:tcPr>
            <w:tcW w:w="1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70-74 </w:t>
            </w:r>
          </w:p>
        </w:tc>
        <w:tc>
          <w:tcPr>
            <w:tcW w:w="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Хорошо.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Приемлемо.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Соответствует основным стандартам задания.</w:t>
            </w:r>
          </w:p>
        </w:tc>
      </w:tr>
      <w:tr>
        <w:trPr>
          <w:trHeight w:val="150" w:hRule="atLeast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2,0 </w:t>
            </w:r>
          </w:p>
        </w:tc>
        <w:tc>
          <w:tcPr>
            <w:tcW w:w="1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65-69 </w:t>
            </w:r>
          </w:p>
        </w:tc>
        <w:tc>
          <w:tcPr>
            <w:tcW w:w="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Удовлетворительно.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Приемлемо. Соответствует некоторым основным стандартам задания.</w:t>
            </w:r>
          </w:p>
        </w:tc>
      </w:tr>
      <w:tr>
        <w:trPr>
          <w:trHeight w:val="150" w:hRule="atLeast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С-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1,67 </w:t>
            </w:r>
          </w:p>
        </w:tc>
        <w:tc>
          <w:tcPr>
            <w:tcW w:w="1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60-64 </w:t>
            </w:r>
          </w:p>
        </w:tc>
        <w:tc>
          <w:tcPr>
            <w:tcW w:w="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Удовлетворительно.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Приемлемо. Соответствует некоторым основным стандартам задания.</w:t>
            </w:r>
          </w:p>
        </w:tc>
      </w:tr>
      <w:tr>
        <w:trPr>
          <w:trHeight w:val="150" w:hRule="atLeast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D+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1,33 </w:t>
            </w:r>
          </w:p>
        </w:tc>
        <w:tc>
          <w:tcPr>
            <w:tcW w:w="1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55-59 </w:t>
            </w:r>
          </w:p>
        </w:tc>
        <w:tc>
          <w:tcPr>
            <w:tcW w:w="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Удовлетворительно. 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Минимально приемлемо.</w:t>
            </w:r>
          </w:p>
        </w:tc>
      </w:tr>
      <w:tr>
        <w:trPr>
          <w:trHeight w:val="150" w:hRule="atLeast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D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1,0 </w:t>
            </w:r>
          </w:p>
        </w:tc>
        <w:tc>
          <w:tcPr>
            <w:tcW w:w="1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50-54 </w:t>
            </w:r>
          </w:p>
        </w:tc>
        <w:tc>
          <w:tcPr>
            <w:tcW w:w="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Удовлетворительно. 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Минимально приемлемо. Самый низкий уровень знаний и выполнения задания.</w:t>
            </w:r>
          </w:p>
        </w:tc>
      </w:tr>
      <w:tr>
        <w:trPr>
          <w:trHeight w:val="150" w:hRule="atLeast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FX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0,5 </w:t>
            </w:r>
          </w:p>
        </w:tc>
        <w:tc>
          <w:tcPr>
            <w:tcW w:w="1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25-49 </w:t>
            </w:r>
          </w:p>
        </w:tc>
        <w:tc>
          <w:tcPr>
            <w:tcW w:w="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Неудовлетворительно. 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Минимально приемлемо.</w:t>
            </w:r>
          </w:p>
        </w:tc>
      </w:tr>
      <w:tr>
        <w:trPr>
          <w:trHeight w:val="150" w:hRule="atLeast"/>
        </w:trPr>
        <w:tc>
          <w:tcPr>
            <w:tcW w:w="1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F 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0 </w:t>
            </w:r>
          </w:p>
        </w:tc>
        <w:tc>
          <w:tcPr>
            <w:tcW w:w="14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0-24 </w:t>
            </w:r>
          </w:p>
        </w:tc>
        <w:tc>
          <w:tcPr>
            <w:tcW w:w="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Неудовлетворительно. 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Очень низкая продуктивность.</w:t>
            </w:r>
          </w:p>
        </w:tc>
      </w:tr>
      <w:tr>
        <w:trPr/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950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Учебные ресурсы </w:t>
            </w: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  <w:t>(используйте полную ссылку и укажите, где можно получить доступ к текстам/материалам)</w:t>
            </w:r>
          </w:p>
        </w:tc>
      </w:tr>
      <w:tr>
        <w:trPr>
          <w:trHeight w:val="2399" w:hRule="atLeast"/>
        </w:trPr>
        <w:tc>
          <w:tcPr>
            <w:tcW w:w="171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Литература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Основная</w:t>
            </w:r>
          </w:p>
          <w:tbl>
            <w:tblPr>
              <w:tblStyle w:val="Table2"/>
              <w:tblW w:w="8134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00"/>
            </w:tblPr>
            <w:tblGrid>
              <w:gridCol w:w="3295"/>
              <w:gridCol w:w="3967"/>
              <w:gridCol w:w="872"/>
            </w:tblGrid>
            <w:tr>
              <w:trPr>
                <w:trHeight w:val="50" w:hRule="atLeast"/>
              </w:trPr>
              <w:tc>
                <w:tcPr>
                  <w:tcW w:w="3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b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sz w:val="24"/>
                      <w:szCs w:val="24"/>
                    </w:rPr>
                    <w:t>Автор</w:t>
                  </w:r>
                </w:p>
              </w:tc>
              <w:tc>
                <w:tcPr>
                  <w:tcW w:w="396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b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sz w:val="24"/>
                      <w:szCs w:val="24"/>
                    </w:rPr>
                    <w:t>Наименование книги, издательство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b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sz w:val="24"/>
                      <w:szCs w:val="24"/>
                    </w:rPr>
                    <w:t>Год издания</w:t>
                  </w:r>
                </w:p>
              </w:tc>
            </w:tr>
            <w:tr>
              <w:trPr>
                <w:trHeight w:val="438" w:hRule="atLeast"/>
              </w:trPr>
              <w:tc>
                <w:tcPr>
                  <w:tcW w:w="3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</w:tabs>
                    <w:spacing w:lineRule="auto" w:line="240"/>
                    <w:ind w:right="111" w:hanging="0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Second Edition. Scott D. C. Stern, Adam S. Cifu, Diane Altkorn</w:t>
                  </w:r>
                </w:p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396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</w:tabs>
                    <w:spacing w:lineRule="auto" w:line="240" w:before="0" w:after="160"/>
                    <w:ind w:right="111" w:hanging="0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SYMPTOM TO DIAGNOSIS. An Evidence-Based Guide. 4</w:t>
                  </w: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vertAlign w:val="superscript"/>
                    </w:rPr>
                    <w:t>th</w:t>
                  </w: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 xml:space="preserve"> edition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2014</w:t>
                  </w:r>
                </w:p>
              </w:tc>
            </w:tr>
            <w:tr>
              <w:trPr>
                <w:trHeight w:val="438" w:hRule="atLeast"/>
              </w:trPr>
              <w:tc>
                <w:tcPr>
                  <w:tcW w:w="32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</w:tabs>
                    <w:spacing w:lineRule="auto" w:line="240" w:before="0" w:after="160"/>
                    <w:ind w:right="111" w:hanging="0"/>
                    <w:rPr>
                      <w:rFonts w:ascii="Times New Roman" w:hAnsi="Times New Roman" w:eastAsia="Times New Roman" w:cs="Times New Roman"/>
                      <w:b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b w:val="false"/>
                      <w:color w:val="343536"/>
                      <w:sz w:val="24"/>
                      <w:szCs w:val="24"/>
                    </w:rPr>
                    <w:t>Joseph Loscalzo, Dennis L. Kasper, Dan L. Longo, Anthony S. Fauci, Stephen L. Hauser, J. Larry Jameson</w:t>
                  </w:r>
                </w:p>
              </w:tc>
              <w:tc>
                <w:tcPr>
                  <w:tcW w:w="396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</w:tabs>
                    <w:spacing w:lineRule="auto" w:line="240" w:before="0" w:after="160"/>
                    <w:ind w:right="111" w:hanging="0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Harrison’s Principle’s of internal medicine, 19-edition, 21-edition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2016, 2019, 2021</w:t>
                  </w:r>
                </w:p>
              </w:tc>
            </w:tr>
          </w:tbl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Дополнительная</w:t>
            </w:r>
          </w:p>
          <w:tbl>
            <w:tblPr>
              <w:tblStyle w:val="Table3"/>
              <w:tblW w:w="8134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00"/>
            </w:tblPr>
            <w:tblGrid>
              <w:gridCol w:w="3435"/>
              <w:gridCol w:w="3827"/>
              <w:gridCol w:w="872"/>
            </w:tblGrid>
            <w:tr>
              <w:trPr>
                <w:trHeight w:val="50" w:hRule="atLeast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b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sz w:val="24"/>
                      <w:szCs w:val="24"/>
                    </w:rPr>
                    <w:t>Автор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b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sz w:val="24"/>
                      <w:szCs w:val="24"/>
                    </w:rPr>
                    <w:t>Наименование книги, издательство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b/>
                      <w:b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sz w:val="24"/>
                      <w:szCs w:val="24"/>
                    </w:rPr>
                    <w:t>Год издания</w:t>
                  </w:r>
                </w:p>
              </w:tc>
            </w:tr>
            <w:tr>
              <w:trPr>
                <w:trHeight w:val="319" w:hRule="atLeast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Professor Parveen Kumar, Dr Michael Clark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Clinical Medicine Eighth Edition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2012</w:t>
                  </w:r>
                </w:p>
              </w:tc>
            </w:tr>
            <w:tr>
              <w:trPr>
                <w:trHeight w:val="257" w:hRule="atLeast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Marc S.Sabatine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Pocket MEDICINE Fourth Edition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2011</w:t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16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b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Brian R., Nicki R. Stuart H., Ian D.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Davidson’s  principles and practice of Medicine 22</w:t>
                  </w: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vertAlign w:val="superscript"/>
                    </w:rPr>
                    <w:t>th</w:t>
                  </w: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Edition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2014</w:t>
                  </w:r>
                </w:p>
              </w:tc>
            </w:tr>
            <w:tr>
              <w:trPr>
                <w:trHeight w:val="641" w:hRule="atLeast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hyperlink r:id="rId3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highlight w:val="white"/>
                        <w:u w:val="none"/>
                      </w:rPr>
                      <w:t>Anthony S. Fauci</w:t>
                    </w:r>
                  </w:hyperlink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highlight w:val="white"/>
                    </w:rPr>
                    <w:t>, </w:t>
                  </w:r>
                  <w:hyperlink r:id="rId4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highlight w:val="white"/>
                        <w:u w:val="none"/>
                      </w:rPr>
                      <w:t>Eugene Braunwald</w:t>
                    </w:r>
                  </w:hyperlink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highlight w:val="white"/>
                    </w:rPr>
                    <w:t>, </w:t>
                  </w:r>
                  <w:hyperlink r:id="rId5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highlight w:val="white"/>
                        <w:u w:val="none"/>
                      </w:rPr>
                      <w:t>Dennis L. Kasper</w:t>
                    </w:r>
                  </w:hyperlink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highlight w:val="white"/>
                    </w:rPr>
                    <w:t>, </w:t>
                  </w:r>
                  <w:hyperlink r:id="rId6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highlight w:val="white"/>
                        <w:u w:val="none"/>
                      </w:rPr>
                      <w:t>Stephen L. Hauser</w:t>
                    </w:r>
                  </w:hyperlink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HARRISON’S Infectious Diseases, Derived from Harrison’s Principles of Internal Medicine, 17th Edition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2010</w:t>
                  </w:r>
                </w:p>
              </w:tc>
            </w:tr>
            <w:tr>
              <w:trPr>
                <w:trHeight w:val="497" w:hRule="atLeast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hyperlink r:id="rId7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highlight w:val="white"/>
                        <w:u w:val="none"/>
                      </w:rPr>
                      <w:t>John E. Bennett MD</w:t>
                    </w:r>
                  </w:hyperlink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highlight w:val="white"/>
                    </w:rPr>
                    <w:t>, </w:t>
                  </w:r>
                  <w:hyperlink r:id="rId8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highlight w:val="white"/>
                        <w:u w:val="none"/>
                      </w:rPr>
                      <w:t>Raphael Dolin MD</w:t>
                    </w:r>
                  </w:hyperlink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highlight w:val="white"/>
                    </w:rPr>
                    <w:t>, </w:t>
                  </w:r>
                  <w:hyperlink r:id="rId9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highlight w:val="white"/>
                        <w:u w:val="none"/>
                      </w:rPr>
                      <w:t>Martin J. Blaser MD</w:t>
                    </w:r>
                  </w:hyperlink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Mandell, Douglas, and Bennett’s Infectious Disease ESSENTIALS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2017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David Schlossberg, MD, FACP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Clinical Infectious Disease SECOND EDITION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2015</w:t>
                  </w:r>
                </w:p>
              </w:tc>
            </w:tr>
            <w:tr>
              <w:trPr>
                <w:trHeight w:val="780" w:hRule="atLeast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hyperlink r:id="rId10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highlight w:val="white"/>
                        <w:u w:val="none"/>
                      </w:rPr>
                      <w:t>Joseph J. Zorc</w:t>
                    </w:r>
                  </w:hyperlink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highlight w:val="white"/>
                    </w:rPr>
                    <w:t>, </w:t>
                  </w:r>
                  <w:hyperlink r:id="rId11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highlight w:val="white"/>
                        <w:u w:val="none"/>
                      </w:rPr>
                      <w:t>Elizabeth R. Alpern</w:t>
                    </w:r>
                  </w:hyperlink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highlight w:val="white"/>
                    </w:rPr>
                    <w:t>, </w:t>
                  </w:r>
                  <w:hyperlink r:id="rId12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highlight w:val="white"/>
                        <w:u w:val="none"/>
                      </w:rPr>
                      <w:t>Lawrence W. Brown</w:t>
                    </w:r>
                  </w:hyperlink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highlight w:val="white"/>
                    </w:rPr>
                    <w:t>, </w:t>
                  </w:r>
                  <w:hyperlink r:id="rId13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highlight w:val="white"/>
                        <w:u w:val="none"/>
                      </w:rPr>
                      <w:t>Kathleen M. Loomes</w:t>
                    </w:r>
                  </w:hyperlink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Clinical Handbook of Pediatrics,  Schwartz’s, fifth edition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2013</w:t>
                  </w:r>
                </w:p>
              </w:tc>
            </w:tr>
            <w:tr>
              <w:trPr>
                <w:trHeight w:val="270" w:hRule="atLeast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Henry M. Adam, MD, FAAP Jane Meschan Foy, MD, FAAP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Signs &amp; Symptoms IN PEDIATRICS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2015</w:t>
                  </w:r>
                </w:p>
              </w:tc>
            </w:tr>
            <w:tr>
              <w:trPr>
                <w:trHeight w:val="323" w:hRule="atLeast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Richard P.Usatine, Camille Sabella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The color atlas of pediatrics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2015</w:t>
                  </w:r>
                </w:p>
              </w:tc>
            </w:tr>
            <w:tr>
              <w:trPr>
                <w:trHeight w:val="409" w:hRule="atLeast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2"/>
                    <w:widowControl w:val="false"/>
                    <w:shd w:val="clear" w:fill="FFFFFF"/>
                    <w:spacing w:lineRule="auto" w:line="240" w:before="150" w:after="0"/>
                    <w:rPr>
                      <w:rFonts w:ascii="Times New Roman" w:hAnsi="Times New Roman" w:eastAsia="Times New Roman" w:cs="Times New Roman"/>
                      <w:color w:val="777674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  <w:color w:val="777674"/>
                      <w:sz w:val="24"/>
                      <w:szCs w:val="24"/>
                    </w:rPr>
                    <w:t>David E. Golan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PRINCIPLES of PHARMACOLOGY,  Fourth Edition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2017</w:t>
                  </w:r>
                </w:p>
              </w:tc>
            </w:tr>
            <w:tr>
              <w:trPr>
                <w:trHeight w:val="520" w:hRule="atLeast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Joseph Loscalzo, MD, PhD,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HARRISON’S Pulmonary and CriticalCare Medicine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2010</w:t>
                  </w:r>
                </w:p>
              </w:tc>
            </w:tr>
            <w:tr>
              <w:trPr>
                <w:trHeight w:val="499" w:hRule="atLeast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Steven E. Weinberger, MD, FACP,  Barbara A. Cockrill, MD, Jess Mandel, MD, FACP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PRINCIPLES OF PULMONARY MEDICINE, sixth edition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2014</w:t>
                  </w:r>
                </w:p>
              </w:tc>
            </w:tr>
            <w:tr>
              <w:trPr>
                <w:trHeight w:val="50" w:hRule="atLeast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F1111"/>
                      <w:sz w:val="24"/>
                      <w:szCs w:val="24"/>
                      <w:highlight w:val="white"/>
                    </w:rPr>
                    <w:t> </w:t>
                  </w:r>
                  <w:hyperlink r:id="rId14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highlight w:val="white"/>
                        <w:u w:val="none"/>
                      </w:rPr>
                      <w:t>Stephen Chapman</w:t>
                    </w:r>
                  </w:hyperlink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highlight w:val="white"/>
                    </w:rPr>
                    <w:t>, </w:t>
                  </w:r>
                  <w:hyperlink r:id="rId15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highlight w:val="white"/>
                        <w:u w:val="none"/>
                      </w:rPr>
                      <w:t>Grace Robinson</w:t>
                    </w:r>
                  </w:hyperlink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highlight w:val="white"/>
                    </w:rPr>
                    <w:t>, </w:t>
                  </w:r>
                  <w:hyperlink r:id="rId16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highlight w:val="white"/>
                        <w:u w:val="none"/>
                      </w:rPr>
                      <w:t>John Stradling</w:t>
                    </w:r>
                  </w:hyperlink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highlight w:val="white"/>
                    </w:rPr>
                    <w:t>, </w:t>
                  </w:r>
                  <w:hyperlink r:id="rId17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highlight w:val="white"/>
                        <w:u w:val="none"/>
                      </w:rPr>
                      <w:t>Sophie West</w:t>
                    </w:r>
                  </w:hyperlink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Oxford Handbook of Respiratory Medicine, Third Edition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2014</w:t>
                  </w:r>
                </w:p>
              </w:tc>
            </w:tr>
            <w:tr>
              <w:trPr>
                <w:trHeight w:val="471" w:hRule="atLeast"/>
              </w:trPr>
              <w:tc>
                <w:tcPr>
                  <w:tcW w:w="343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Joseph Loscalzo, MD, PhD of Harvard Medical School;Chairman</w:t>
                  </w:r>
                </w:p>
              </w:tc>
              <w:tc>
                <w:tcPr>
                  <w:tcW w:w="3827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HARRISON’S Cardiovascular Medicine</w:t>
                  </w:r>
                </w:p>
              </w:tc>
              <w:tc>
                <w:tcPr>
                  <w:tcW w:w="872" w:type="dxa"/>
                  <w:tcBorders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2010</w:t>
                  </w:r>
                </w:p>
              </w:tc>
            </w:tr>
            <w:tr>
              <w:trPr>
                <w:trHeight w:val="589" w:hRule="atLeast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Pierre Théroux, MD Professor of Medicine of Canada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Acute  Coronary Syndromes, second edition,  A Companion to Braunwald’s Heart Disease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2011</w:t>
                  </w:r>
                </w:p>
              </w:tc>
            </w:tr>
            <w:tr>
              <w:trPr>
                <w:trHeight w:val="565" w:hRule="atLeast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highlight w:val="white"/>
                    </w:rPr>
                    <w:t>George L. Bakris, Matthew Sorrentino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Hypertension: A companion to Brounwald’s heart disease, second edition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2013</w:t>
                  </w:r>
                </w:p>
              </w:tc>
            </w:tr>
            <w:tr>
              <w:trPr>
                <w:trHeight w:val="372" w:hRule="atLeast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John JV McMurray MD FRCP FESC FACC, Marc A Pfeffer MD PhD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Heart Failure Updates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2003</w:t>
                  </w:r>
                </w:p>
              </w:tc>
            </w:tr>
            <w:tr>
              <w:trPr>
                <w:trHeight w:val="491" w:hRule="atLeast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hd w:val="clear" w:fill="FFFFFF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hyperlink r:id="rId18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u w:val="none"/>
                      </w:rPr>
                      <w:t>Punit Ramrakha (ed.)</w:t>
                    </w:r>
                  </w:hyperlink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,</w:t>
                  </w:r>
                </w:p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color w:val="2A2A2A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highlight w:val="white"/>
                    </w:rPr>
                    <w:t> </w:t>
                  </w:r>
                  <w:hyperlink r:id="rId19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u w:val="none"/>
                      </w:rPr>
                      <w:t>Jonathan Hill (ed.)</w:t>
                    </w:r>
                  </w:hyperlink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b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Oxford Handbook of  Cardiology</w:t>
                  </w:r>
                </w:p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2012</w:t>
                  </w:r>
                </w:p>
              </w:tc>
            </w:tr>
            <w:tr>
              <w:trPr>
                <w:trHeight w:val="683" w:hRule="atLeast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b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Ziad F. Issa, MD, John M. Miller, MD, Douglas P. Zipes, MD</w:t>
                  </w:r>
                </w:p>
                <w:p>
                  <w:pPr>
                    <w:pStyle w:val="Normal1"/>
                    <w:widowControl w:val="false"/>
                    <w:shd w:val="clear" w:fill="FFFFFF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Clinical Arrhythmology and Electrophysiology.  A Companion to Braunwald’s Heart Disease,  second edition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2012</w:t>
                  </w:r>
                </w:p>
              </w:tc>
            </w:tr>
            <w:tr>
              <w:trPr>
                <w:trHeight w:val="314" w:hRule="atLeast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Paul N Durrington BSc MD FRCP FRCPath FMedSci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Preventive Cardiology 2</w:t>
                  </w: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vertAlign w:val="superscript"/>
                    </w:rPr>
                    <w:t>nd</w:t>
                  </w: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 xml:space="preserve"> edition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2001</w:t>
                  </w:r>
                </w:p>
              </w:tc>
            </w:tr>
            <w:tr>
              <w:trPr>
                <w:trHeight w:val="703" w:hRule="atLeast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Hugh D.Allen, Robert E.Shaddy, Daniel J.Penny, Timithy F.Feltes, Frank Cetta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Moss and Adam’s Heart disease in infants, children and adolescents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2011</w:t>
                  </w:r>
                </w:p>
              </w:tc>
            </w:tr>
            <w:tr>
              <w:trPr>
                <w:trHeight w:val="415" w:hRule="atLeast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Graham Jackson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CARDIOLOGY CURRENT PERSPECTIVES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2002</w:t>
                  </w:r>
                </w:p>
              </w:tc>
            </w:tr>
            <w:tr>
              <w:trPr>
                <w:trHeight w:val="366" w:hRule="atLeast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Romeo Vecht FRCP, FACC, FESC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ECG Diagnosis Made Easy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2011</w:t>
                  </w:r>
                </w:p>
              </w:tc>
            </w:tr>
            <w:tr>
              <w:trPr>
                <w:trHeight w:val="568" w:hRule="atLeast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Dan L. Longo, MD, Anthony S. Fauci, MD, Carol A. Langford, MD, MHS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HARRISON’S Gastroenterology and Hepatology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2010</w:t>
                  </w:r>
                </w:p>
              </w:tc>
            </w:tr>
            <w:tr>
              <w:trPr>
                <w:trHeight w:val="469" w:hRule="atLeast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Mauss, Berg, Rockstroh, Sarrazin, Wedemeyer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Hepatology- A clinical textbook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2016</w:t>
                  </w:r>
                </w:p>
              </w:tc>
            </w:tr>
            <w:tr>
              <w:trPr>
                <w:trHeight w:val="587" w:hRule="atLeast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S.Dooley James, Anna S.F.Lok, Andrew K.Burroughs, E.Jenny Heathcote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Sherlock's diseases of the liver and biliary system, 12</w:t>
                  </w: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vertAlign w:val="superscript"/>
                    </w:rPr>
                    <w:t>th</w:t>
                  </w: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 xml:space="preserve"> edition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2002</w:t>
                  </w:r>
                </w:p>
              </w:tc>
            </w:tr>
            <w:tr>
              <w:trPr>
                <w:trHeight w:val="535" w:hRule="atLeast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Dan L.Longo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Harrison’s Hematology and Oncology, 17</w:t>
                  </w: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vertAlign w:val="superscript"/>
                    </w:rPr>
                    <w:t>th</w:t>
                  </w: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 xml:space="preserve"> edition,  edited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2011</w:t>
                  </w:r>
                </w:p>
              </w:tc>
            </w:tr>
            <w:tr>
              <w:trPr>
                <w:trHeight w:val="619" w:hRule="atLeast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A. Victor Hoffbrand, Paul A. H. Moss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Hoffbrand’s  Essential Haematology, 7</w:t>
                  </w: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vertAlign w:val="superscript"/>
                    </w:rPr>
                    <w:t>th</w:t>
                  </w: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 xml:space="preserve"> edition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2016</w:t>
                  </w:r>
                </w:p>
              </w:tc>
            </w:tr>
            <w:tr>
              <w:trPr>
                <w:trHeight w:val="567" w:hRule="atLeast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hyperlink r:id="rId20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highlight w:val="white"/>
                      </w:rPr>
                      <w:t>Drew Provan</w:t>
                    </w:r>
                  </w:hyperlink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Oxford Handbook of Clinical Haematology, 4</w:t>
                  </w: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vertAlign w:val="superscript"/>
                    </w:rPr>
                    <w:t>th</w:t>
                  </w: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 xml:space="preserve"> edition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2015</w:t>
                  </w:r>
                </w:p>
              </w:tc>
            </w:tr>
            <w:tr>
              <w:trPr>
                <w:trHeight w:val="384" w:hRule="atLeast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16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J. Larry Jameson, MD, PhD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16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HARRISON’S Endocrinology, 2</w:t>
                  </w: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  <w:vertAlign w:val="superscript"/>
                    </w:rPr>
                    <w:t>nd</w:t>
                  </w: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 xml:space="preserve"> edi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2010</w:t>
                  </w:r>
                </w:p>
              </w:tc>
            </w:tr>
            <w:tr>
              <w:trPr>
                <w:trHeight w:val="545" w:hRule="atLeast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16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hyperlink r:id="rId21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highlight w:val="white"/>
                        <w:u w:val="none"/>
                      </w:rPr>
                      <w:t>John Wass</w:t>
                    </w:r>
                  </w:hyperlink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highlight w:val="white"/>
                    </w:rPr>
                    <w:t>, </w:t>
                  </w:r>
                  <w:hyperlink r:id="rId22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highlight w:val="white"/>
                        <w:u w:val="none"/>
                      </w:rPr>
                      <w:t>Wiebke Arlt</w:t>
                    </w:r>
                  </w:hyperlink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highlight w:val="white"/>
                    </w:rPr>
                    <w:t>, </w:t>
                  </w:r>
                  <w:hyperlink r:id="rId23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highlight w:val="white"/>
                        <w:u w:val="none"/>
                      </w:rPr>
                      <w:t>Robert Semple</w:t>
                    </w:r>
                  </w:hyperlink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highlight w:val="white"/>
                    </w:rPr>
                    <w:t> 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16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Oxford Handbook of Endocrinology and Diabetes, Third edition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2014</w:t>
                  </w:r>
                </w:p>
              </w:tc>
            </w:tr>
            <w:tr>
              <w:trPr>
                <w:trHeight w:val="259" w:hRule="atLeast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16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J. Larry Jameson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16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Harrison’s nephrology and acid-base disorders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2010</w:t>
                  </w:r>
                </w:p>
              </w:tc>
            </w:tr>
            <w:tr>
              <w:trPr>
                <w:trHeight w:val="197" w:hRule="atLeast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16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Edgar V. Lerma, Allen R. Nissenson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16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Nephrology secrets.—3rd ed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2012</w:t>
                  </w:r>
                </w:p>
              </w:tc>
            </w:tr>
            <w:tr>
              <w:trPr>
                <w:trHeight w:val="427" w:hRule="atLeast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16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hyperlink r:id="rId24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highlight w:val="white"/>
                        <w:u w:val="none"/>
                      </w:rPr>
                      <w:t>Anthony Fauci</w:t>
                    </w:r>
                  </w:hyperlink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highlight w:val="white"/>
                    </w:rPr>
                    <w:t>, </w:t>
                  </w:r>
                  <w:hyperlink r:id="rId25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highlight w:val="white"/>
                        <w:u w:val="none"/>
                      </w:rPr>
                      <w:t>Carol Langford</w:t>
                    </w:r>
                  </w:hyperlink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  <w:highlight w:val="white"/>
                    </w:rPr>
                    <w:t> </w:t>
                  </w:r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16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HARRISON’S Rheumatology, second edition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2010</w:t>
                  </w:r>
                </w:p>
              </w:tc>
            </w:tr>
            <w:tr>
              <w:trPr>
                <w:trHeight w:val="543" w:hRule="atLeast"/>
              </w:trPr>
              <w:tc>
                <w:tcPr>
                  <w:tcW w:w="3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hd w:val="clear" w:fill="FFFFFF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hyperlink r:id="rId26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u w:val="none"/>
                      </w:rPr>
                      <w:t>Gavin Clunie (ed.)</w:t>
                    </w:r>
                  </w:hyperlink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,</w:t>
                  </w:r>
                </w:p>
                <w:p>
                  <w:pPr>
                    <w:pStyle w:val="Normal1"/>
                    <w:widowControl w:val="false"/>
                    <w:shd w:val="clear" w:fill="FFFFFF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hyperlink r:id="rId27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u w:val="none"/>
                      </w:rPr>
                      <w:t>Nick Wilkinson (ed.)</w:t>
                    </w:r>
                  </w:hyperlink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,</w:t>
                  </w:r>
                </w:p>
                <w:p>
                  <w:pPr>
                    <w:pStyle w:val="Normal1"/>
                    <w:widowControl w:val="false"/>
                    <w:shd w:val="clear" w:fill="FFFFFF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hyperlink r:id="rId28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u w:val="none"/>
                      </w:rPr>
                      <w:t>Elena Nikiphorou (ed.)</w:t>
                    </w:r>
                  </w:hyperlink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,</w:t>
                  </w:r>
                </w:p>
                <w:p>
                  <w:pPr>
                    <w:pStyle w:val="Normal1"/>
                    <w:widowControl w:val="false"/>
                    <w:shd w:val="clear" w:fill="FFFFFF"/>
                    <w:spacing w:lineRule="auto" w:line="240" w:before="0" w:after="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hyperlink r:id="rId29">
                    <w:r>
                      <w:rPr>
                        <w:rFonts w:eastAsia="Times New Roman" w:cs="Times New Roman" w:ascii="Times New Roman" w:hAnsi="Times New Roman"/>
                        <w:color w:val="000000"/>
                        <w:sz w:val="24"/>
                        <w:szCs w:val="24"/>
                        <w:u w:val="none"/>
                      </w:rPr>
                      <w:t>Deepak Jadon (ed.)</w:t>
                    </w:r>
                  </w:hyperlink>
                </w:p>
              </w:tc>
              <w:tc>
                <w:tcPr>
                  <w:tcW w:w="382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tabs>
                      <w:tab w:val="clear" w:pos="720"/>
                      <w:tab w:val="left" w:pos="142" w:leader="none"/>
                      <w:tab w:val="left" w:pos="284" w:leader="none"/>
                    </w:tabs>
                    <w:spacing w:lineRule="auto" w:line="240" w:before="0" w:after="160"/>
                    <w:ind w:right="111" w:hanging="0"/>
                    <w:jc w:val="both"/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color w:val="000000"/>
                      <w:sz w:val="24"/>
                      <w:szCs w:val="24"/>
                    </w:rPr>
                    <w:t>Oxford Handbook of Rheumatology, forth edition</w:t>
                  </w:r>
                </w:p>
              </w:tc>
              <w:tc>
                <w:tcPr>
                  <w:tcW w:w="872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1"/>
                    <w:widowControl w:val="false"/>
                    <w:spacing w:lineRule="auto" w:line="240" w:before="0" w:after="160"/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4"/>
                      <w:szCs w:val="24"/>
                    </w:rPr>
                    <w:t>2018</w:t>
                  </w:r>
                </w:p>
              </w:tc>
            </w:tr>
          </w:tbl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2" w:hRule="atLeast"/>
        </w:trPr>
        <w:tc>
          <w:tcPr>
            <w:tcW w:w="1710" w:type="dxa"/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Интернет-ресурсы: </w:t>
            </w:r>
          </w:p>
          <w:p>
            <w:pPr>
              <w:pStyle w:val="Normal1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42" w:leader="none"/>
                <w:tab w:val="left" w:pos="426" w:leader="none"/>
              </w:tabs>
              <w:spacing w:lineRule="auto" w:line="240" w:before="0" w:after="0"/>
              <w:ind w:left="720" w:right="111" w:hanging="36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Medscape.com </w:t>
            </w:r>
          </w:p>
          <w:p>
            <w:pPr>
              <w:pStyle w:val="Normal1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42" w:leader="none"/>
                <w:tab w:val="left" w:pos="426" w:leader="none"/>
              </w:tabs>
              <w:spacing w:lineRule="auto" w:line="240" w:before="0" w:after="0"/>
              <w:ind w:left="720" w:right="111" w:hanging="36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hyperlink r:id="rId30">
              <w:r>
                <w:rPr>
                  <w:rFonts w:eastAsia="Times New Roman" w:cs="Times New Roman" w:ascii="Times New Roman" w:hAnsi="Times New Roman"/>
                  <w:color w:val="000000"/>
                  <w:sz w:val="24"/>
                  <w:szCs w:val="24"/>
                  <w:u w:val="single"/>
                </w:rPr>
                <w:t>Uptodate.com</w:t>
              </w:r>
            </w:hyperlink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</w:p>
          <w:p>
            <w:pPr>
              <w:pStyle w:val="Normal1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142" w:leader="none"/>
                <w:tab w:val="left" w:pos="426" w:leader="none"/>
              </w:tabs>
              <w:spacing w:lineRule="auto" w:line="240" w:before="0" w:after="0"/>
              <w:ind w:left="720" w:right="111" w:hanging="36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Oxfordmedicine.com</w:t>
            </w:r>
          </w:p>
          <w:p>
            <w:pPr>
              <w:pStyle w:val="Normal1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0" w:leader="none"/>
                <w:tab w:val="left" w:pos="142" w:leader="none"/>
                <w:tab w:val="left" w:pos="426" w:leader="none"/>
                <w:tab w:val="left" w:pos="567" w:leader="none"/>
              </w:tabs>
              <w:spacing w:lineRule="auto" w:line="240" w:before="0" w:after="0"/>
              <w:ind w:left="720" w:right="111" w:hanging="36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Geeky medics.com</w:t>
            </w:r>
          </w:p>
          <w:p>
            <w:pPr>
              <w:pStyle w:val="Normal1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0" w:leader="none"/>
                <w:tab w:val="left" w:pos="142" w:leader="none"/>
                <w:tab w:val="left" w:pos="426" w:leader="none"/>
                <w:tab w:val="left" w:pos="567" w:leader="none"/>
              </w:tabs>
              <w:spacing w:lineRule="auto" w:line="240" w:before="0" w:after="0"/>
              <w:ind w:left="720" w:right="111" w:hanging="36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1">
              <w:r>
                <w:rPr>
                  <w:rFonts w:eastAsia="Times New Roman" w:cs="Times New Roman" w:ascii="Times New Roman" w:hAnsi="Times New Roman"/>
                  <w:color w:val="000000"/>
                  <w:sz w:val="24"/>
                  <w:szCs w:val="24"/>
                </w:rPr>
                <w:t>ncbi.nlm.nih.gov/PubMed/</w:t>
              </w:r>
            </w:hyperlink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1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0" w:leader="none"/>
                <w:tab w:val="left" w:pos="142" w:leader="none"/>
                <w:tab w:val="left" w:pos="426" w:leader="none"/>
                <w:tab w:val="left" w:pos="993" w:leader="none"/>
              </w:tabs>
              <w:spacing w:lineRule="auto" w:line="240" w:before="0" w:after="0"/>
              <w:ind w:left="720" w:right="111" w:hanging="36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32">
              <w:r>
                <w:rPr>
                  <w:rFonts w:eastAsia="Times New Roman" w:cs="Times New Roman" w:ascii="Times New Roman" w:hAnsi="Times New Roman"/>
                  <w:color w:val="000000"/>
                  <w:sz w:val="24"/>
                  <w:szCs w:val="24"/>
                </w:rPr>
                <w:t>medline.com</w:t>
              </w:r>
            </w:hyperlink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1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0" w:leader="none"/>
                <w:tab w:val="left" w:pos="142" w:leader="none"/>
                <w:tab w:val="left" w:pos="426" w:leader="none"/>
                <w:tab w:val="left" w:pos="993" w:leader="none"/>
              </w:tabs>
              <w:spacing w:lineRule="auto" w:line="240" w:before="0" w:after="0"/>
              <w:ind w:left="720" w:right="111" w:hanging="360"/>
              <w:jc w:val="left"/>
              <w:rPr>
                <w:rFonts w:ascii="Times New Roman" w:hAnsi="Times New Roman" w:eastAsia="Times New Roman" w:cs="Times New Roman"/>
                <w:b/>
                <w:b/>
                <w:color w:val="FF6600"/>
                <w:sz w:val="24"/>
                <w:szCs w:val="24"/>
              </w:rPr>
            </w:pPr>
            <w:hyperlink r:id="rId33">
              <w:r>
                <w:rPr>
                  <w:rFonts w:eastAsia="Times New Roman" w:cs="Times New Roman" w:ascii="Times New Roman" w:hAnsi="Times New Roman"/>
                  <w:color w:val="0033CC"/>
                  <w:sz w:val="24"/>
                  <w:szCs w:val="24"/>
                  <w:u w:val="single"/>
                </w:rPr>
                <w:t>https://medelement.com/</w:t>
              </w:r>
            </w:hyperlink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hyperlink r:id="rId34">
              <w:r>
                <w:rPr>
                  <w:rFonts w:eastAsia="Times New Roman" w:cs="Times New Roman" w:ascii="Times New Roman" w:hAnsi="Times New Roman"/>
                  <w:color w:val="0033CC"/>
                  <w:sz w:val="24"/>
                  <w:szCs w:val="24"/>
                  <w:u w:val="single"/>
                </w:rPr>
                <w:t>https://www.cochranelibrary.com</w:t>
              </w:r>
            </w:hyperlink>
            <w:r>
              <w:rPr>
                <w:rFonts w:eastAsia="Times New Roman" w:cs="Times New Roman" w:ascii="Times New Roman" w:hAnsi="Times New Roman"/>
                <w:color w:val="FF6600"/>
                <w:sz w:val="24"/>
                <w:szCs w:val="24"/>
              </w:rPr>
              <w:t xml:space="preserve"> </w:t>
            </w:r>
          </w:p>
        </w:tc>
      </w:tr>
      <w:tr>
        <w:trPr>
          <w:trHeight w:val="70" w:hRule="atLeast"/>
        </w:trPr>
        <w:tc>
          <w:tcPr>
            <w:tcW w:w="1710" w:type="dxa"/>
            <w:gridSpan w:val="5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Электронные ресурсы (включая, помимо прочего: электронный каталог библиотеки, базы научной литературы, базы данных, анимацию, моделирование,профессиональные блоги, веб-сайты, другие электронные справочные материалы (например, видео-, аудио-, дайджесты)</w:t>
            </w:r>
          </w:p>
        </w:tc>
        <w:tc>
          <w:tcPr>
            <w:tcW w:w="82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248" w:right="0" w:hanging="284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Интернет-ресурсы: 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7"/>
              </w:numPr>
              <w:pBdr/>
              <w:shd w:val="clear" w:fill="auto"/>
              <w:spacing w:lineRule="auto" w:line="240" w:before="0" w:after="0"/>
              <w:ind w:left="248" w:right="0" w:hanging="284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Medscape.com - </w:t>
            </w:r>
            <w:hyperlink r:id="rId35">
              <w:r>
                <w:rPr>
                  <w:rFonts w:eastAsia="Times New Roman" w:cs="Times New Roman"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position w:val="0"/>
                  <w:sz w:val="24"/>
                  <w:sz w:val="24"/>
                  <w:szCs w:val="24"/>
                  <w:u w:val="none"/>
                  <w:shd w:fill="auto" w:val="clear"/>
                  <w:vertAlign w:val="baseline"/>
                </w:rPr>
                <w:t>https://www.medscape.com/familymedicine</w:t>
              </w:r>
            </w:hyperlink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7"/>
              </w:numPr>
              <w:pBdr/>
              <w:shd w:val="clear" w:fill="auto"/>
              <w:spacing w:lineRule="auto" w:line="240" w:before="0" w:after="0"/>
              <w:ind w:left="248" w:right="0" w:hanging="284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Oxfordmedicine.com -</w:t>
            </w:r>
            <w:hyperlink r:id="rId36">
              <w:r>
                <w:rPr>
                  <w:rFonts w:eastAsia="Times New Roman" w:cs="Times New Roman"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position w:val="0"/>
                  <w:sz w:val="24"/>
                  <w:sz w:val="24"/>
                  <w:szCs w:val="24"/>
                  <w:u w:val="none"/>
                  <w:shd w:fill="auto" w:val="clear"/>
                  <w:vertAlign w:val="baseline"/>
                </w:rPr>
                <w:t>https://oxfordmedicine.com/</w:t>
              </w:r>
            </w:hyperlink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7"/>
              </w:numPr>
              <w:pBdr/>
              <w:shd w:val="clear" w:fill="auto"/>
              <w:spacing w:lineRule="auto" w:line="240" w:before="0" w:after="0"/>
              <w:ind w:left="248" w:right="0" w:hanging="284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hyperlink r:id="rId37">
              <w:r>
                <w:rPr>
                  <w:rFonts w:eastAsia="Times New Roman" w:cs="Times New Roman" w:ascii="Times New Roman" w:hAnsi="Times New Roman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position w:val="0"/>
                  <w:sz w:val="24"/>
                  <w:sz w:val="24"/>
                  <w:szCs w:val="24"/>
                  <w:u w:val="none"/>
                  <w:shd w:fill="auto" w:val="clear"/>
                  <w:vertAlign w:val="baseline"/>
                </w:rPr>
                <w:t>Uptodate.com</w:t>
              </w:r>
            </w:hyperlink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- </w:t>
            </w:r>
            <w:hyperlink r:id="rId38">
              <w:r>
                <w:rPr>
                  <w:rFonts w:eastAsia="Times New Roman" w:cs="Times New Roman" w:ascii="Times New Roman" w:hAnsi="Times New Roman"/>
                  <w:b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position w:val="0"/>
                  <w:sz w:val="24"/>
                  <w:sz w:val="24"/>
                  <w:szCs w:val="24"/>
                  <w:u w:val="none"/>
                  <w:shd w:fill="auto" w:val="clear"/>
                  <w:vertAlign w:val="baseline"/>
                </w:rPr>
                <w:t>https://www.wolterskluwer.com/en/solutions/uptodate</w:t>
              </w:r>
            </w:hyperlink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7"/>
              </w:numPr>
              <w:pBdr/>
              <w:shd w:val="clear" w:fill="auto"/>
              <w:spacing w:lineRule="auto" w:line="240" w:before="0" w:after="0"/>
              <w:ind w:left="248" w:right="0" w:hanging="284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Osmosis - </w:t>
            </w:r>
            <w:hyperlink r:id="rId39">
              <w:r>
                <w:rPr>
                  <w:rFonts w:eastAsia="Times New Roman" w:cs="Times New Roman" w:ascii="Times New Roman" w:hAnsi="Times New Roman"/>
                  <w:b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position w:val="0"/>
                  <w:sz w:val="24"/>
                  <w:sz w:val="24"/>
                  <w:szCs w:val="24"/>
                  <w:u w:val="none"/>
                  <w:shd w:fill="auto" w:val="clear"/>
                  <w:vertAlign w:val="baseline"/>
                </w:rPr>
                <w:t>https://www.youtube.com/c/osmosis</w:t>
              </w:r>
            </w:hyperlink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7"/>
              </w:numPr>
              <w:pBdr/>
              <w:shd w:val="clear" w:fill="auto"/>
              <w:spacing w:lineRule="auto" w:line="240" w:before="0" w:after="0"/>
              <w:ind w:left="248" w:right="0" w:hanging="284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Ninja Nerd - </w:t>
            </w:r>
            <w:hyperlink r:id="rId40">
              <w:r>
                <w:rPr>
                  <w:rFonts w:eastAsia="Times New Roman" w:cs="Times New Roman" w:ascii="Times New Roman" w:hAnsi="Times New Roman"/>
                  <w:b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position w:val="0"/>
                  <w:sz w:val="24"/>
                  <w:sz w:val="24"/>
                  <w:szCs w:val="24"/>
                  <w:u w:val="none"/>
                  <w:shd w:fill="auto" w:val="clear"/>
                  <w:vertAlign w:val="baseline"/>
                </w:rPr>
                <w:t>https://www.youtube.com/c/NinjaNerdScience/videos</w:t>
              </w:r>
            </w:hyperlink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7"/>
              </w:numPr>
              <w:pBdr/>
              <w:shd w:val="clear" w:fill="auto"/>
              <w:spacing w:lineRule="auto" w:line="240" w:before="0" w:after="0"/>
              <w:ind w:left="248" w:right="0" w:hanging="284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CorMedicale - </w:t>
            </w:r>
            <w:hyperlink r:id="rId41">
              <w:r>
                <w:rPr>
                  <w:rFonts w:eastAsia="Times New Roman" w:cs="Times New Roman" w:ascii="Times New Roman" w:hAnsi="Times New Roman"/>
                  <w:b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position w:val="0"/>
                  <w:sz w:val="24"/>
                  <w:sz w:val="24"/>
                  <w:szCs w:val="24"/>
                  <w:u w:val="none"/>
                  <w:shd w:fill="auto" w:val="clear"/>
                  <w:vertAlign w:val="baseline"/>
                </w:rPr>
                <w:t>https://www.youtube.com/c/CorMedicale</w:t>
              </w:r>
            </w:hyperlink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FF"/>
                <w:position w:val="0"/>
                <w:sz w:val="24"/>
                <w:sz w:val="24"/>
                <w:szCs w:val="24"/>
                <w:u w:val="single"/>
                <w:shd w:fill="auto" w:val="clear"/>
                <w:vertAlign w:val="baseli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-  медицинские видео анимации на русском языке.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7"/>
              </w:numPr>
              <w:pBdr/>
              <w:shd w:val="clear" w:fill="auto"/>
              <w:spacing w:lineRule="auto" w:line="240" w:before="0" w:after="0"/>
              <w:ind w:left="248" w:right="0" w:hanging="284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Lecturio Medical - </w:t>
            </w:r>
            <w:hyperlink r:id="rId42">
              <w:r>
                <w:rPr>
                  <w:rFonts w:eastAsia="Times New Roman" w:cs="Times New Roman" w:ascii="Times New Roman" w:hAnsi="Times New Roman"/>
                  <w:b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position w:val="0"/>
                  <w:sz w:val="24"/>
                  <w:sz w:val="24"/>
                  <w:szCs w:val="24"/>
                  <w:u w:val="none"/>
                  <w:shd w:fill="auto" w:val="clear"/>
                  <w:vertAlign w:val="baseline"/>
                </w:rPr>
                <w:t>https://www.youtube.com/channel/UCbYmF43dpGHz8gi2ugiXr0Q</w:t>
              </w:r>
            </w:hyperlink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7"/>
              </w:numPr>
              <w:pBdr/>
              <w:shd w:val="clear" w:fill="auto"/>
              <w:spacing w:lineRule="auto" w:line="240" w:before="0" w:after="0"/>
              <w:ind w:left="248" w:right="0" w:hanging="284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SciDrugs - </w:t>
            </w:r>
            <w:hyperlink r:id="rId43">
              <w:r>
                <w:rPr>
                  <w:rFonts w:eastAsia="Times New Roman" w:cs="Times New Roman" w:ascii="Times New Roman" w:hAnsi="Times New Roman"/>
                  <w:b/>
                  <w:i w:val="false"/>
                  <w:caps w:val="false"/>
                  <w:smallCaps w:val="false"/>
                  <w:strike w:val="false"/>
                  <w:dstrike w:val="false"/>
                  <w:color w:val="000000"/>
                  <w:position w:val="0"/>
                  <w:sz w:val="24"/>
                  <w:sz w:val="24"/>
                  <w:szCs w:val="24"/>
                  <w:u w:val="none"/>
                  <w:shd w:fill="auto" w:val="clear"/>
                  <w:vertAlign w:val="baseline"/>
                </w:rPr>
                <w:t>https://www.youtube.com/c/SciDrugs/videos</w:t>
              </w:r>
            </w:hyperlink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- видеолекции по фармакологии на русском языке.</w:t>
            </w:r>
          </w:p>
        </w:tc>
      </w:tr>
      <w:tr>
        <w:trPr/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Симуляторы в симуляционном центре</w:t>
            </w:r>
          </w:p>
        </w:tc>
        <w:tc>
          <w:tcPr>
            <w:tcW w:w="82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bookmarkStart w:id="0" w:name="_heading=h.gjdgxs"/>
            <w:bookmarkEnd w:id="0"/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1. SAM (Student auscultation manikin) – студенческий манекен для аскультации патологии органов и систем 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Манекен-симулятор для обучения навыков перкуссии, пальпации органов брюшной полости, сердечно-сосудистой системы, дыхательной системы</w:t>
            </w:r>
          </w:p>
        </w:tc>
      </w:tr>
      <w:tr>
        <w:trPr/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Специальное программное обеспечение </w:t>
            </w:r>
          </w:p>
        </w:tc>
        <w:tc>
          <w:tcPr>
            <w:tcW w:w="82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1. Google classroom – доступный в свободном доступе. 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 Медицинские калькуляторы: Medscape, Справочник врача, MD+Calc – доступные в свободном доступе.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 Справочник протоколов диагностики и лечения для медицинских работников от РЦРЗ, МЗ РК: Dariger – доступное в свободном доступе.</w:t>
            </w:r>
          </w:p>
        </w:tc>
      </w:tr>
      <w:tr>
        <w:trPr>
          <w:trHeight w:val="234" w:hRule="atLeast"/>
        </w:trPr>
        <w:tc>
          <w:tcPr>
            <w:tcW w:w="992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854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Требования к обучающему и бонусная система</w:t>
            </w:r>
          </w:p>
        </w:tc>
      </w:tr>
      <w:tr>
        <w:trPr/>
        <w:tc>
          <w:tcPr>
            <w:tcW w:w="992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>
            <w:pPr>
              <w:pStyle w:val="Normal1"/>
              <w:widowControl w:val="false"/>
              <w:spacing w:lineRule="auto" w:line="240" w:before="0" w:after="0"/>
              <w:ind w:right="140" w:hanging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1)Внешний вид: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8"/>
              </w:numPr>
              <w:pBdr/>
              <w:shd w:val="clear" w:fill="auto"/>
              <w:spacing w:lineRule="auto" w:line="240" w:before="0" w:after="0"/>
              <w:ind w:left="390" w:right="0" w:hanging="283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офисный стиль одежды (шорты, короткие юбки, открытые футболки не допускаются для посещения университета, в клинике не допускаются джинсы)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8"/>
              </w:numPr>
              <w:pBdr/>
              <w:shd w:val="clear" w:fill="auto"/>
              <w:spacing w:lineRule="auto" w:line="240" w:before="0" w:after="0"/>
              <w:ind w:left="390" w:right="0" w:hanging="283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чистый отглаженный белый халат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8"/>
              </w:numPr>
              <w:pBdr/>
              <w:shd w:val="clear" w:fill="auto"/>
              <w:spacing w:lineRule="auto" w:line="240" w:before="0" w:after="0"/>
              <w:ind w:left="388" w:right="0" w:hanging="283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медицинская маска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8"/>
              </w:numPr>
              <w:pBdr/>
              <w:shd w:val="clear" w:fill="auto"/>
              <w:spacing w:lineRule="auto" w:line="240" w:before="0" w:after="0"/>
              <w:ind w:left="388" w:right="0" w:hanging="283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медицинская шапочка (или аккуратный хиджаб без свисающих концов)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8"/>
              </w:numPr>
              <w:pBdr/>
              <w:shd w:val="clear" w:fill="auto"/>
              <w:spacing w:lineRule="auto" w:line="240" w:before="0" w:after="0"/>
              <w:ind w:left="388" w:right="0" w:hanging="283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медицинские перчатки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8"/>
              </w:numPr>
              <w:pBdr/>
              <w:shd w:val="clear" w:fill="auto"/>
              <w:spacing w:lineRule="auto" w:line="240" w:before="0" w:after="0"/>
              <w:ind w:left="388" w:right="0" w:hanging="283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сменная чистая обувь (без каблука)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8"/>
              </w:numPr>
              <w:pBdr/>
              <w:shd w:val="clear" w:fill="auto"/>
              <w:spacing w:lineRule="auto" w:line="240" w:before="0" w:after="0"/>
              <w:ind w:left="388" w:right="0" w:hanging="283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аккуратная прическа, длинные волосы должны быть собраны в хвост, или пучок, как у девушек, так и у парней. Опрятно коротко подстриженные ногти. Яркий, темный маникюр – запрещен. Допустимо покрывать ногти прозрачным лаком. 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8"/>
              </w:numPr>
              <w:pBdr/>
              <w:shd w:val="clear" w:fill="auto"/>
              <w:spacing w:lineRule="auto" w:line="240" w:before="0" w:after="0"/>
              <w:ind w:left="388" w:right="0" w:hanging="283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бейджик с указанием ФИО (полностью)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8"/>
              </w:numPr>
              <w:pBdr/>
              <w:shd w:val="clear" w:fill="auto"/>
              <w:spacing w:lineRule="auto" w:line="240" w:before="0" w:after="0"/>
              <w:ind w:left="388" w:right="0" w:hanging="283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отсутствие ярко-выраженного парфюма (у пациентов могут быть аллергические реакции)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ind w:right="14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2) Обязательное наличие фонендоскопа, тонометра, сантиметровой ленты, (можно также иметь пульсоксиметр)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z w:val="24"/>
                <w:szCs w:val="24"/>
              </w:rPr>
              <w:t xml:space="preserve">3) *Должным образом оформленная санитарная (медицинская) книжка (до начала занятий и должна обновляться в положенные сроки) 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z w:val="24"/>
                <w:szCs w:val="24"/>
              </w:rPr>
              <w:t xml:space="preserve">4) *Наличие паспорта вакцинации или иного документа о полностью 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z w:val="24"/>
                <w:szCs w:val="24"/>
              </w:rPr>
              <w:t>пройденном курсе вакцинации против COVID-19 и гриппа</w:t>
            </w:r>
          </w:p>
          <w:p>
            <w:pPr>
              <w:pStyle w:val="Normal1"/>
              <w:widowControl w:val="false"/>
              <w:spacing w:lineRule="auto" w:line="240" w:before="0" w:after="0"/>
              <w:ind w:right="140" w:hanging="0"/>
              <w:jc w:val="left"/>
              <w:rPr>
                <w:rFonts w:ascii="Times New Roman" w:hAnsi="Times New Roman" w:eastAsia="Times New Roman" w:cs="Times New Roman"/>
                <w:b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z w:val="24"/>
                <w:szCs w:val="24"/>
              </w:rPr>
              <w:t>5) Обязательное соблюдение правил личной гигиены и техники безопасности</w:t>
            </w:r>
          </w:p>
          <w:p>
            <w:pPr>
              <w:pStyle w:val="Normal1"/>
              <w:widowControl w:val="false"/>
              <w:spacing w:lineRule="auto" w:line="240" w:before="0" w:after="0"/>
              <w:ind w:right="14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6) Систематическая подготовка к учебному процессу.</w:t>
            </w:r>
          </w:p>
          <w:p>
            <w:pPr>
              <w:pStyle w:val="Normal1"/>
              <w:widowControl w:val="false"/>
              <w:spacing w:lineRule="auto" w:line="240" w:before="0" w:after="0"/>
              <w:ind w:right="14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7) Аккуратное и своевременное ведение отчетной документации.</w:t>
            </w:r>
          </w:p>
          <w:p>
            <w:pPr>
              <w:pStyle w:val="Normal1"/>
              <w:widowControl w:val="false"/>
              <w:spacing w:lineRule="auto" w:line="240" w:before="0" w:after="0"/>
              <w:ind w:right="14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8) Активное участие в лечебно-диагностических и общественных мероприятиях кафедр.</w:t>
            </w:r>
          </w:p>
          <w:p>
            <w:pPr>
              <w:pStyle w:val="Normal1"/>
              <w:widowControl w:val="false"/>
              <w:spacing w:lineRule="auto" w:line="240" w:before="0" w:after="0"/>
              <w:ind w:right="14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ind w:right="140" w:hanging="0"/>
              <w:jc w:val="left"/>
              <w:rPr>
                <w:rFonts w:ascii="Times New Roman" w:hAnsi="Times New Roman" w:eastAsia="Times New Roman" w:cs="Times New Roman"/>
                <w:b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z w:val="24"/>
                <w:szCs w:val="24"/>
              </w:rPr>
              <w:t xml:space="preserve">Студент без медкнижки и вакцинации не будет допущен к пациентам. </w:t>
            </w:r>
          </w:p>
          <w:p>
            <w:pPr>
              <w:pStyle w:val="Normal1"/>
              <w:widowControl w:val="false"/>
              <w:spacing w:lineRule="auto" w:line="240" w:before="0" w:after="0"/>
              <w:ind w:right="140" w:hanging="0"/>
              <w:jc w:val="left"/>
              <w:rPr>
                <w:rFonts w:ascii="Times New Roman" w:hAnsi="Times New Roman" w:eastAsia="Times New Roman" w:cs="Times New Roman"/>
                <w:b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FF0000"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ind w:right="140" w:hanging="0"/>
              <w:jc w:val="left"/>
              <w:rPr>
                <w:rFonts w:ascii="Times New Roman" w:hAnsi="Times New Roman" w:eastAsia="Times New Roman" w:cs="Times New Roman"/>
                <w:b/>
                <w:b/>
                <w:color w:val="FF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Студент, который не соответствует требованиям внешнего вида и/или от которого исходит сильный/резкий запах, поскольку такой запах может спровоцировать нежелательную реакцию у пациента (обструкцию и т. п.) </w:t>
            </w:r>
            <w:r>
              <w:rPr>
                <w:rFonts w:eastAsia="Times New Roman" w:cs="Times New Roman" w:ascii="Times New Roman" w:hAnsi="Times New Roman"/>
                <w:b/>
                <w:color w:val="FF0000"/>
                <w:sz w:val="24"/>
                <w:szCs w:val="24"/>
              </w:rPr>
              <w:t xml:space="preserve">– не допускается к пациентам и занятиям! </w:t>
            </w:r>
          </w:p>
          <w:p>
            <w:pPr>
              <w:pStyle w:val="Normal1"/>
              <w:widowControl w:val="false"/>
              <w:spacing w:lineRule="auto" w:line="240" w:before="0" w:after="0"/>
              <w:ind w:right="140" w:hanging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ind w:right="140" w:hanging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Преподаватель в праве принять решение о допуске к занятиям студентов, которые не выполняют требования профессионального поведения, включая требования клинической базы!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Бонусная система: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 Участие в научно-исследовательской работе, конференциях, олимпеаде, презентациях, учащийся награжается по средством бонусной системы в виде поощрения – добавления баллов учащемуся в одну из форм суммативного оценивания.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854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Политика дисциплины </w:t>
            </w: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  <w:t>(части, выделенные зеленым, пожалуйста, не изменяйте)</w:t>
            </w:r>
          </w:p>
        </w:tc>
      </w:tr>
      <w:tr>
        <w:trPr/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4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green"/>
              </w:rPr>
              <w:t xml:space="preserve">Политика дисциплины определяется </w:t>
            </w:r>
            <w:hyperlink r:id="rId44">
              <w:r>
                <w:rPr>
                  <w:rFonts w:eastAsia="Times New Roman" w:cs="Times New Roman" w:ascii="Times New Roman" w:hAnsi="Times New Roman"/>
                  <w:sz w:val="24"/>
                  <w:szCs w:val="24"/>
                  <w:highlight w:val="green"/>
                </w:rPr>
                <w:t>Академической политикой Университета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green"/>
              </w:rPr>
              <w:t xml:space="preserve"> и </w:t>
            </w:r>
            <w:hyperlink r:id="rId45">
              <w:r>
                <w:rPr>
                  <w:rFonts w:eastAsia="Times New Roman" w:cs="Times New Roman" w:ascii="Times New Roman" w:hAnsi="Times New Roman"/>
                  <w:sz w:val="24"/>
                  <w:szCs w:val="24"/>
                  <w:highlight w:val="green"/>
                </w:rPr>
                <w:t>Политикой академической честности Университета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green"/>
              </w:rPr>
              <w:t>. Если ссылки не будут открываться, то актуальные документы, Вы можете найти в ИС Univer.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ind w:right="140" w:hanging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Дисциплина: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pBdr/>
              <w:shd w:val="clear" w:fill="auto"/>
              <w:spacing w:lineRule="auto" w:line="240" w:before="0" w:after="0"/>
              <w:ind w:left="388" w:right="140" w:hanging="283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Не допускаются опоздания на занятия или утреннюю конференцию. При опоздании - решение о допуске на занятие принимает преподаватель, ведущий занятие. При наличии уважительной причины – сообщить преподавателю об опоздании и причине сообщением или по телефону.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занятию. При опоздании без уважительной причины – преподаватель вправе снять баллы с текущей оценки (по 1 баллу за каждую минуту опоздания)                               Решение кафедры клинических дисциплин (протокол №2 от 5 сентября 2023):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pBdr/>
              <w:shd w:val="clear" w:fill="auto"/>
              <w:spacing w:lineRule="auto" w:line="240" w:before="0" w:after="0"/>
              <w:ind w:left="388" w:right="140" w:hanging="283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Религиозные мероприятия, праздники и прочее не являются уважительной причиной для пропусков, опозданий и отвлечения преподавателя и группы от работы во время занятий. 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pBdr/>
              <w:shd w:val="clear" w:fill="auto"/>
              <w:spacing w:lineRule="auto" w:line="240" w:before="0" w:after="0"/>
              <w:ind w:left="388" w:right="140" w:hanging="283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При опоздании по уважительной причине – не отвлекать группу и преподавателя от занятия и тихо пройти на свое место.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pBdr/>
              <w:shd w:val="clear" w:fill="auto"/>
              <w:spacing w:lineRule="auto" w:line="240" w:before="0" w:after="0"/>
              <w:ind w:left="388" w:right="140" w:hanging="283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Уход с занятия раньше положенного времени, нахождение в учебное время вне рабочего места расценивается как прогул.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pBdr/>
              <w:shd w:val="clear" w:fill="auto"/>
              <w:spacing w:lineRule="auto" w:line="240" w:before="0" w:after="0"/>
              <w:ind w:left="388" w:right="140" w:hanging="283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Не допускается дополнительная работа студентов в учебное время (во время практических занятий и дежурств). 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pBdr/>
              <w:shd w:val="clear" w:fill="auto"/>
              <w:spacing w:lineRule="auto" w:line="240" w:before="0" w:after="0"/>
              <w:ind w:left="388" w:right="140" w:hanging="283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На студентов, имеющих свыше 3 пропусков без оповещения куратора и уважительной причины, оформляется рапорт с рекомендацией на отчисление.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pBdr/>
              <w:shd w:val="clear" w:fill="auto"/>
              <w:spacing w:lineRule="auto" w:line="240" w:before="0" w:after="0"/>
              <w:ind w:left="388" w:right="140" w:hanging="283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Пропущенные занятия не отрабатываются.                             </w:t>
            </w: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Дополнительно к требованиям по учебной дисциплине:</w:t>
            </w:r>
          </w:p>
          <w:p>
            <w:pPr>
              <w:pStyle w:val="Normal1"/>
              <w:widowControl w:val="false"/>
              <w:ind w:left="720" w:hanging="0"/>
              <w:rPr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81D41A" w:val="clear"/>
              </w:rPr>
              <w:t xml:space="preserve">При пропуске занятия без уважительной причины преподаватель имеет право снять баллы с оценки рубежного контроля – </w:t>
            </w:r>
          </w:p>
          <w:p>
            <w:pPr>
              <w:pStyle w:val="Normal1"/>
              <w:widowControl w:val="false"/>
              <w:ind w:left="720" w:hanging="0"/>
              <w:rPr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81D41A" w:val="clear"/>
              </w:rPr>
              <w:t xml:space="preserve">5 баллов за каждое пропущенное занятие для дисциплин 3 курса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388" w:right="140" w:hanging="0"/>
              <w:jc w:val="left"/>
              <w:rPr>
                <w:rFonts w:ascii="Calibri" w:hAnsi="Calibri" w:eastAsia="Calibri" w:cs="Calibri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81D41A" w:val="clear"/>
                <w:vertAlign w:val="baseline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81D41A" w:val="clear"/>
                <w:vertAlign w:val="baseline"/>
              </w:rPr>
              <w:t xml:space="preserve">10 баллов за каждое пропущенное занятие для дисциплин 4-5 курса 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pBdr/>
              <w:shd w:val="clear" w:fill="auto"/>
              <w:spacing w:lineRule="auto" w:line="240" w:before="0" w:after="0"/>
              <w:ind w:left="388" w:right="140" w:hanging="283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На студентов полностью распространяются Правила внутреннего распорядка клинических баз кафедры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pBdr/>
              <w:shd w:val="clear" w:fill="auto"/>
              <w:spacing w:lineRule="auto" w:line="240" w:before="0" w:after="0"/>
              <w:ind w:left="388" w:right="140" w:hanging="283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Приветствовать преподавателя и любого старшего по возрасту вставанием (на занятии)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pBdr/>
              <w:shd w:val="clear" w:fill="auto"/>
              <w:spacing w:lineRule="auto" w:line="240" w:before="0" w:after="0"/>
              <w:ind w:left="388" w:right="140" w:hanging="424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Курение (в том числе использование вейпов, электронных сигарет) строго запрещено на территории ЛПУ (out-doors) и университета. Наказание – вплоть до аннулирования рубежного контроля, при повторном нарушении – решение о допуске к занятиям принимается заведующим кафедрой 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pBdr/>
              <w:shd w:val="clear" w:fill="auto"/>
              <w:spacing w:lineRule="auto" w:line="240" w:before="0" w:after="0"/>
              <w:ind w:left="388" w:right="140" w:hanging="424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Уважительное отношение к коллегам независимо от пола, возраста, национальности, религии, сексуальной ориентации.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pBdr/>
              <w:shd w:val="clear" w:fill="auto"/>
              <w:spacing w:lineRule="auto" w:line="240" w:before="0" w:after="0"/>
              <w:ind w:left="388" w:right="140" w:hanging="424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Иметь при себе ноутбук / лаптоп / таб / планшет для обучения и сдачи MCQ тестов, рубежных и итоговых контролях. </w:t>
            </w:r>
          </w:p>
          <w:p>
            <w:pPr>
              <w:pStyle w:val="Normal1"/>
              <w:keepNext w:val="false"/>
              <w:keepLines w:val="false"/>
              <w:widowControl w:val="false"/>
              <w:numPr>
                <w:ilvl w:val="0"/>
                <w:numId w:val="1"/>
              </w:numPr>
              <w:pBdr/>
              <w:shd w:val="clear" w:fill="auto"/>
              <w:spacing w:lineRule="auto" w:line="240" w:before="0" w:after="0"/>
              <w:ind w:left="388" w:right="140" w:hanging="424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Сдача тестов MCQ на телефонах и смартфонах строго запрещается.</w:t>
            </w:r>
          </w:p>
          <w:p>
            <w:pPr>
              <w:pStyle w:val="Normal1"/>
              <w:widowControl w:val="false"/>
              <w:spacing w:lineRule="auto" w:line="240" w:before="0" w:after="0"/>
              <w:ind w:right="140" w:hanging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green"/>
              </w:rPr>
              <w:t xml:space="preserve">Поведение обучающегося на экзаменах регламентируют </w:t>
            </w:r>
            <w:hyperlink r:id="rId46">
              <w:r>
                <w:rPr>
                  <w:rFonts w:eastAsia="Times New Roman" w:cs="Times New Roman" w:ascii="Times New Roman" w:hAnsi="Times New Roman"/>
                  <w:sz w:val="24"/>
                  <w:szCs w:val="24"/>
                  <w:highlight w:val="green"/>
                </w:rPr>
                <w:t>«Правила проведения итогового контроля»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green"/>
              </w:rPr>
              <w:t xml:space="preserve">, </w:t>
            </w:r>
            <w:hyperlink r:id="rId47">
              <w:r>
                <w:rPr>
                  <w:rFonts w:eastAsia="Times New Roman" w:cs="Times New Roman" w:ascii="Times New Roman" w:hAnsi="Times New Roman"/>
                  <w:sz w:val="24"/>
                  <w:szCs w:val="24"/>
                  <w:highlight w:val="green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green"/>
              </w:rPr>
              <w:t xml:space="preserve"> (актуальные документы загружены в ИС «Универ» и обновляются перед началом сессии); </w:t>
            </w:r>
            <w:hyperlink r:id="rId48">
              <w:r>
                <w:rPr>
                  <w:rFonts w:eastAsia="Times New Roman" w:cs="Times New Roman" w:ascii="Times New Roman" w:hAnsi="Times New Roman"/>
                  <w:sz w:val="24"/>
                  <w:szCs w:val="24"/>
                  <w:highlight w:val="green"/>
                </w:rPr>
                <w:t>«Положение о проверке текстовых документов обучающихся на наличие заимствований»</w:t>
              </w:r>
            </w:hyperlink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green"/>
              </w:rPr>
              <w:t>.</w:t>
            </w:r>
          </w:p>
        </w:tc>
      </w:tr>
      <w:tr>
        <w:trPr/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854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Принципы инклюзивности обучения (не более 150 слов).</w:t>
            </w:r>
          </w:p>
        </w:tc>
      </w:tr>
      <w:tr>
        <w:trPr/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54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1. Постоянно готовиться к занятиям: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Например, подкрепляет утверждения соответствующими ссылками, делает краткие резюме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Демонстрирует навыки эффективного обучения, помогает в обучении другим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2. Принимать ответственность за свое обучение: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3. Активно участвовать в обучении группы: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Например, активно участвует в обсуждении, охотно берет задания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4. Демонстрировать эффективные групповые навыки   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993" w:leader="none"/>
                <w:tab w:val="left" w:pos="1134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Например, берет на себя инициативу, проявляет уважение и корректность в отношении других, помогает разрешать недоразумения и конфликты  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5. Искусное владение коммуникации с ровесниками: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Например, активно слушает, восприимчив к невербальным и эмоциональным сигналам  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993" w:leader="none"/>
                <w:tab w:val="left" w:pos="1134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Уважительное отношение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6. Высоко развитые профессиональные навыки: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Стремится к выполнению заданий, ищет возможности для большего обучения, уверенный и квалифицированный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Соблюдение этики и деонтологии в отношении пациентов и медперсонала</w:t>
            </w:r>
          </w:p>
          <w:p>
            <w:pPr>
              <w:pStyle w:val="Normal1"/>
              <w:widowControl w:val="false"/>
              <w:tabs>
                <w:tab w:val="clear" w:pos="720"/>
                <w:tab w:val="left" w:pos="993" w:leader="none"/>
                <w:tab w:val="left" w:pos="1134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Соблюдение субординации.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7. Высокий самоанализ: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Например, распознает ограниченность своих знаний или способностей, не становясь в оборону или упрекая других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8. Высоко развитое критическое мышление: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9. 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Соблюдает этику общения – как устную, так и письменную (в чатах и обращениях)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10. Полностью соблюдает правила с полным их пониманием, побуждает других членов группы придерживаться правил 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yellow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Строго соблюдает принципы врачебной этики и PRIMUM NON NOCER</w:t>
            </w:r>
          </w:p>
        </w:tc>
      </w:tr>
      <w:tr>
        <w:trPr/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854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Дистанционное/онлайн обучение – запрещено по клинической дисциплине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  <w:t>(части, выделенные зеленым, пожалуйста, не изменяйте)</w:t>
            </w:r>
          </w:p>
        </w:tc>
      </w:tr>
      <w:tr>
        <w:trPr/>
        <w:tc>
          <w:tcPr>
            <w:tcW w:w="9923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green"/>
              </w:rPr>
              <w:t>1. Согласно приказу МОН РК №17513 от 9 октября 2018 г. «Об утверждении Перечня направлений подготовки кадров с высшим и послевузовским образованием, обучение по которым в форме экстерната и онлайн-обучения не допускается»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green"/>
              </w:rPr>
              <w:t xml:space="preserve">Согласно вышеуказанному нормативному документу, специальности с кодом дисциплин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highlight w:val="green"/>
              </w:rPr>
              <w:t>здравоохранение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green"/>
              </w:rPr>
              <w:t xml:space="preserve">: бакалавриат (6В101), магистратур (7M101), резидентур (7R101),  доктарантур, (8D101) - обучение в форме экстерната и онлайн-обучения –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highlight w:val="green"/>
              </w:rPr>
              <w:t>не допускается.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 </w:t>
            </w:r>
          </w:p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Таким образом обучающимся запрещается дистанционное обучение в любой форме.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Разрешается лишь отработка занятия по дисциплины в связи с отсутсвии студента по независящей от него причины и наличием своевременного потверждающего документа (пример: проблема со здоровьем и придъявление потверждающего документа - медицинская справка, сигнальный лист СМП, выписка консультативного приёма к медицинскому специалисту - врачу)</w:t>
            </w:r>
          </w:p>
        </w:tc>
      </w:tr>
      <w:tr>
        <w:trPr/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854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EEBF6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Утверждение и рассмотрение</w:t>
            </w:r>
          </w:p>
        </w:tc>
      </w:tr>
      <w:tr>
        <w:trPr>
          <w:trHeight w:val="173" w:hRule="atLeast"/>
        </w:trPr>
        <w:tc>
          <w:tcPr>
            <w:tcW w:w="32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Заведующий кафедрой</w:t>
            </w:r>
          </w:p>
        </w:tc>
        <w:tc>
          <w:tcPr>
            <w:tcW w:w="1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проф. Курманова Г.М.</w:t>
            </w:r>
          </w:p>
        </w:tc>
      </w:tr>
      <w:tr>
        <w:trPr>
          <w:trHeight w:val="173" w:hRule="atLeast"/>
        </w:trPr>
        <w:tc>
          <w:tcPr>
            <w:tcW w:w="32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Академический комитет ФМиЗ</w:t>
            </w:r>
          </w:p>
        </w:tc>
        <w:tc>
          <w:tcPr>
            <w:tcW w:w="1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Протокол №</w:t>
            </w:r>
          </w:p>
        </w:tc>
        <w:tc>
          <w:tcPr>
            <w:tcW w:w="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Дата утверждения</w:t>
            </w:r>
          </w:p>
        </w:tc>
      </w:tr>
      <w:tr>
        <w:trPr>
          <w:trHeight w:val="173" w:hRule="atLeast"/>
        </w:trPr>
        <w:tc>
          <w:tcPr>
            <w:tcW w:w="32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Председатель Академического комитета ФМиЗ</w:t>
            </w:r>
          </w:p>
        </w:tc>
        <w:tc>
          <w:tcPr>
            <w:tcW w:w="1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проф. Курманова Г.М.</w:t>
            </w:r>
          </w:p>
        </w:tc>
      </w:tr>
      <w:tr>
        <w:trPr>
          <w:trHeight w:val="173" w:hRule="atLeast"/>
        </w:trPr>
        <w:tc>
          <w:tcPr>
            <w:tcW w:w="32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Декан</w:t>
            </w:r>
          </w:p>
        </w:tc>
        <w:tc>
          <w:tcPr>
            <w:tcW w:w="1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Декан факультета </w:t>
            </w:r>
          </w:p>
        </w:tc>
      </w:tr>
    </w:tbl>
    <w:p>
      <w:pPr>
        <w:pStyle w:val="Normal1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start="1" w:fmt="decimal"/>
          <w:formProt w:val="false"/>
          <w:textDirection w:val="lrTb"/>
          <w:docGrid w:type="default" w:linePitch="100" w:charSpace="0"/>
        </w:sectPr>
        <w:pStyle w:val="Normal1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1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РУБРИКАТОР ОЦЕНИВАНИЯ РЕЗУЛЬТАТОВ ОБУЧЕНИЯ </w:t>
      </w:r>
      <w:r>
        <w:rPr>
          <w:rFonts w:eastAsia="Times New Roman" w:cs="Times New Roman" w:ascii="Times New Roman" w:hAnsi="Times New Roman"/>
          <w:sz w:val="24"/>
          <w:szCs w:val="24"/>
        </w:rPr>
        <w:t> </w:t>
      </w:r>
    </w:p>
    <w:p>
      <w:pPr>
        <w:pStyle w:val="Normal1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при суммативном оценивании</w:t>
      </w:r>
      <w:r>
        <w:rPr>
          <w:rFonts w:eastAsia="Times New Roman" w:cs="Times New Roman" w:ascii="Times New Roman" w:hAnsi="Times New Roman"/>
          <w:sz w:val="24"/>
          <w:szCs w:val="24"/>
        </w:rPr>
        <w:t> </w:t>
      </w:r>
    </w:p>
    <w:p>
      <w:pPr>
        <w:pStyle w:val="Normal1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76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bookmarkStart w:id="1" w:name="_heading=h.30j0zll"/>
      <w:bookmarkEnd w:id="1"/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Формула расчёта рейтинга </w:t>
      </w:r>
    </w:p>
    <w:p>
      <w:pPr>
        <w:pStyle w:val="Normal1"/>
        <w:jc w:val="both"/>
        <w:rPr>
          <w:rFonts w:ascii="Times New Roman" w:hAnsi="Times New Roman" w:eastAsia="Times New Roman" w:cs="Times New Roman"/>
          <w:color w:val="2C2D2E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За 4 курс в целом - ОРД</w:t>
      </w:r>
    </w:p>
    <w:tbl>
      <w:tblPr>
        <w:tblStyle w:val="Table4"/>
        <w:tblW w:w="14735" w:type="dxa"/>
        <w:jc w:val="left"/>
        <w:tblInd w:w="-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12568"/>
        <w:gridCol w:w="2166"/>
      </w:tblGrid>
      <w:tr>
        <w:trPr>
          <w:trHeight w:val="317" w:hRule="atLeast"/>
        </w:trPr>
        <w:tc>
          <w:tcPr>
            <w:tcW w:w="12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C2D2E"/>
                <w:sz w:val="24"/>
                <w:szCs w:val="24"/>
              </w:rPr>
              <w:t>История болезни</w:t>
            </w:r>
          </w:p>
        </w:tc>
        <w:tc>
          <w:tcPr>
            <w:tcW w:w="216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30%</w:t>
            </w:r>
          </w:p>
        </w:tc>
      </w:tr>
      <w:tr>
        <w:trPr>
          <w:trHeight w:val="317" w:hRule="atLeast"/>
        </w:trPr>
        <w:tc>
          <w:tcPr>
            <w:tcW w:w="12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C2D2E"/>
                <w:sz w:val="24"/>
                <w:szCs w:val="24"/>
              </w:rPr>
              <w:t>Рубежный контроль</w:t>
            </w:r>
          </w:p>
        </w:tc>
        <w:tc>
          <w:tcPr>
            <w:tcW w:w="2166" w:type="dxa"/>
            <w:tcBorders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70%</w:t>
            </w:r>
          </w:p>
        </w:tc>
      </w:tr>
      <w:tr>
        <w:trPr>
          <w:trHeight w:val="329" w:hRule="atLeast"/>
        </w:trPr>
        <w:tc>
          <w:tcPr>
            <w:tcW w:w="12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2C2D2E"/>
                <w:sz w:val="24"/>
                <w:szCs w:val="24"/>
              </w:rPr>
              <w:t>Итого РК1</w:t>
            </w:r>
          </w:p>
        </w:tc>
        <w:tc>
          <w:tcPr>
            <w:tcW w:w="2166" w:type="dxa"/>
            <w:tcBorders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</w:tr>
      <w:tr>
        <w:trPr>
          <w:trHeight w:val="317" w:hRule="atLeast"/>
        </w:trPr>
        <w:tc>
          <w:tcPr>
            <w:tcW w:w="12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История болезни</w:t>
            </w:r>
          </w:p>
        </w:tc>
        <w:tc>
          <w:tcPr>
            <w:tcW w:w="2166" w:type="dxa"/>
            <w:tcBorders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20%</w:t>
            </w:r>
          </w:p>
        </w:tc>
      </w:tr>
      <w:tr>
        <w:trPr>
          <w:trHeight w:val="329" w:hRule="atLeast"/>
        </w:trPr>
        <w:tc>
          <w:tcPr>
            <w:tcW w:w="12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C2D2E"/>
                <w:sz w:val="24"/>
                <w:szCs w:val="24"/>
              </w:rPr>
              <w:t>Научная работа</w:t>
            </w:r>
          </w:p>
        </w:tc>
        <w:tc>
          <w:tcPr>
            <w:tcW w:w="2166" w:type="dxa"/>
            <w:tcBorders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10%</w:t>
            </w:r>
          </w:p>
        </w:tc>
      </w:tr>
      <w:tr>
        <w:trPr>
          <w:trHeight w:val="329" w:hRule="atLeast"/>
        </w:trPr>
        <w:tc>
          <w:tcPr>
            <w:tcW w:w="12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C2D2E"/>
                <w:sz w:val="24"/>
                <w:szCs w:val="24"/>
              </w:rPr>
              <w:t>Оценка 360</w:t>
            </w:r>
          </w:p>
        </w:tc>
        <w:tc>
          <w:tcPr>
            <w:tcW w:w="2166" w:type="dxa"/>
            <w:tcBorders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10%</w:t>
            </w:r>
          </w:p>
        </w:tc>
      </w:tr>
      <w:tr>
        <w:trPr>
          <w:trHeight w:val="317" w:hRule="atLeast"/>
        </w:trPr>
        <w:tc>
          <w:tcPr>
            <w:tcW w:w="12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2C2D2E"/>
                <w:sz w:val="24"/>
                <w:szCs w:val="24"/>
              </w:rPr>
              <w:t>Рубежный контроль</w:t>
            </w:r>
          </w:p>
        </w:tc>
        <w:tc>
          <w:tcPr>
            <w:tcW w:w="2166" w:type="dxa"/>
            <w:tcBorders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60%</w:t>
            </w:r>
          </w:p>
        </w:tc>
      </w:tr>
      <w:tr>
        <w:trPr>
          <w:trHeight w:val="51" w:hRule="atLeast"/>
        </w:trPr>
        <w:tc>
          <w:tcPr>
            <w:tcW w:w="125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2C2D2E"/>
                <w:sz w:val="24"/>
                <w:szCs w:val="24"/>
              </w:rPr>
              <w:t>Итого РК2</w:t>
            </w:r>
          </w:p>
        </w:tc>
        <w:tc>
          <w:tcPr>
            <w:tcW w:w="2166" w:type="dxa"/>
            <w:tcBorders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C2D2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100%</w:t>
            </w:r>
          </w:p>
        </w:tc>
      </w:tr>
    </w:tbl>
    <w:p>
      <w:pPr>
        <w:pStyle w:val="Normal1"/>
        <w:spacing w:lineRule="auto" w:line="240" w:before="280" w:after="160"/>
        <w:jc w:val="both"/>
        <w:rPr>
          <w:rFonts w:ascii="Times New Roman" w:hAnsi="Times New Roman" w:eastAsia="Times New Roman" w:cs="Times New Roman"/>
          <w:color w:val="2C2D2E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Финальная оценка: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ОРД 60% + экзамен 40%</w:t>
      </w:r>
    </w:p>
    <w:p>
      <w:pPr>
        <w:pStyle w:val="Normal1"/>
        <w:spacing w:lineRule="auto" w:line="240" w:before="0" w:after="280"/>
        <w:rPr>
          <w:rFonts w:ascii="Times New Roman" w:hAnsi="Times New Roman" w:eastAsia="Times New Roman" w:cs="Times New Roman"/>
          <w:b/>
          <w:b/>
          <w:color w:val="FFFFFF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  <w:t>Экзамен (2 этапа)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 – тестирование (40%) + ОСКЭ (60%)</w:t>
      </w:r>
      <w:r>
        <w:rPr>
          <w:rFonts w:eastAsia="Times New Roman" w:cs="Times New Roman" w:ascii="Times New Roman" w:hAnsi="Times New Roman"/>
          <w:b/>
          <w:color w:val="FFFFFF"/>
          <w:sz w:val="24"/>
          <w:szCs w:val="24"/>
        </w:rPr>
        <w:t>ем</w:t>
      </w:r>
    </w:p>
    <w:p>
      <w:pPr>
        <w:pStyle w:val="Normal1"/>
        <w:spacing w:lineRule="auto" w:line="240" w:before="0" w:after="280"/>
        <w:rPr>
          <w:rFonts w:ascii="Times New Roman" w:hAnsi="Times New Roman" w:eastAsia="Times New Roman" w:cs="Times New Roman"/>
          <w:b/>
          <w:b/>
          <w:color w:val="FFFFFF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FFFFFF"/>
          <w:sz w:val="24"/>
          <w:szCs w:val="24"/>
        </w:rPr>
      </w:r>
    </w:p>
    <w:p>
      <w:pPr>
        <w:pStyle w:val="Normal1"/>
        <w:spacing w:lineRule="auto" w:line="240" w:before="0" w:after="280"/>
        <w:rPr>
          <w:rFonts w:ascii="Times New Roman" w:hAnsi="Times New Roman" w:eastAsia="Times New Roman" w:cs="Times New Roman"/>
          <w:color w:val="2C2D2E"/>
          <w:sz w:val="24"/>
          <w:szCs w:val="24"/>
        </w:rPr>
      </w:pPr>
      <w:r>
        <w:rPr>
          <w:rFonts w:eastAsia="Times New Roman" w:cs="Times New Roman" w:ascii="Times New Roman" w:hAnsi="Times New Roman"/>
          <w:color w:val="2C2D2E"/>
          <w:sz w:val="24"/>
          <w:szCs w:val="24"/>
        </w:rPr>
      </w:r>
    </w:p>
    <w:p>
      <w:pPr>
        <w:pStyle w:val="Normal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Problem based learning – PBL</w:t>
      </w:r>
    </w:p>
    <w:p>
      <w:pPr>
        <w:pStyle w:val="Normal1"/>
        <w:spacing w:lineRule="auto" w:line="240" w:before="0" w:after="0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tbl>
      <w:tblPr>
        <w:tblStyle w:val="Table5"/>
        <w:tblW w:w="836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7427"/>
        <w:gridCol w:w="935"/>
      </w:tblGrid>
      <w:tr>
        <w:trPr/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%</w:t>
            </w:r>
          </w:p>
        </w:tc>
      </w:tr>
      <w:tr>
        <w:trPr/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Оценка коллег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30</w:t>
            </w:r>
          </w:p>
        </w:tc>
      </w:tr>
      <w:tr>
        <w:trPr/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Оценка тьютора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50</w:t>
            </w:r>
          </w:p>
        </w:tc>
      </w:tr>
      <w:tr>
        <w:trPr/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Самооценка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7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100%</w:t>
            </w:r>
          </w:p>
        </w:tc>
      </w:tr>
    </w:tbl>
    <w:p>
      <w:pPr>
        <w:pStyle w:val="Normal1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Оценочные рубрики</w:t>
      </w:r>
    </w:p>
    <w:p>
      <w:pPr>
        <w:pStyle w:val="Normal1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Чек-лист оценки на 360° для студента</w:t>
      </w:r>
    </w:p>
    <w:p>
      <w:pPr>
        <w:pStyle w:val="Normal1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КУРАТОР и Преподаватель</w:t>
      </w:r>
    </w:p>
    <w:p>
      <w:pPr>
        <w:pStyle w:val="Normal1"/>
        <w:ind w:firstLine="28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Ф.И.О. куратора ________________________________________ Подпись ______________</w:t>
      </w:r>
    </w:p>
    <w:tbl>
      <w:tblPr>
        <w:tblStyle w:val="Table6"/>
        <w:tblW w:w="14486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24"/>
        <w:gridCol w:w="6125"/>
        <w:gridCol w:w="1558"/>
        <w:gridCol w:w="6378"/>
      </w:tblGrid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Очень хорошо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Критерии и баллы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Неудовлетворительно  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Постоянно готовится к занятиям: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Например, подкрепляет утверждения соответствующими ссылками, делает краткие резюме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Демонстрирует навыки эффективного обучения, помогает в обучении другим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Подготовка</w:t>
            </w:r>
          </w:p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Постоянно не готовится к занятиям 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Например, недостаточное чтение и изучение проблемных вопросов, вносит незначительный вклад в знания группы, не анализирует, не суммирует материал,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Принимает ответственность за свое обучение: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Ответственность</w:t>
            </w:r>
          </w:p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Не принимает ответственность за свое обучение: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Например, зависит от других при выполнении плана обучения, скрывает ошибки, редко критически анализирует ресурсы.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Активно участвует в обучении группы: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Например, активно участвует в обсуждении, охотно берет задания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Участие</w:t>
            </w:r>
          </w:p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Не активен в процессе обучения группы: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Например, не участвует в процессе обсуждения, неохотно принимает задания   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Демонстрирует эффективные групповые навыки   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Например, берет на себя инициативу, проявляет уважение и корректность в отношении других, помогает разрешать недоразумения и конфликты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Групповые навыки</w:t>
            </w:r>
          </w:p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Демонстрирует не эффективные групповые навыки   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Например, неуместно вмешивается, показывает плохие навыки дискуссии, прерывая, уходя от ответа или игнорируя других, доминируя или проявляя нетерпение 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Искусен в коммуникациях с ровесниками: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Например, активно слушает, восприимчив к невербальным и эмоциональным сигналам  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Уважительное отношение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Коммуникации</w:t>
            </w:r>
          </w:p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Труден в коммуникациях с ровесниками: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Например, плохие навыки слушания, не способен или не склонен внимать невербальным или эмоциональным сигналам 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Использование нецензурной лексики 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Высоко развитые профессиональные навыки: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Стремится к выполнению заданий, ищет возможности для большего обучения, уверенный и квалифицированный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Соблюдение этики и деонтологии в отношении пациентов и медперсонала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Соблюдение субординации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Профессионализм</w:t>
            </w:r>
          </w:p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Неуклюжий, боится, отказываясь пробовать даже основные процедуры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Неполноценность в профессиональном поведении – причинение вреда пациенту, грубое неуважительное отношение к медперсоналу, коллегам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Высокий самоанализ: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Например, распознает ограниченность своих знаний или способностей, не становясь в оборону или упрекая других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Рефлексия</w:t>
            </w:r>
          </w:p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Низкий самоанализ: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Например, нуждается в большем осознании границ понимания или способностей и не делает позитивные шаги к исправлению     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Высоко развитое критическое мышление: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 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Критическое мышление</w:t>
            </w:r>
          </w:p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Дефицит критического мышления: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Например, испытывает трудности в выполнении ключевых заданий. Как правило не генерирует гипотезы, не применяет знания в практике либо из-за их нехватки, либо из-за неумения (отсутствие индукции), не умеет критически оценивать информацию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Соблюдает этику общения – как устную, так и письменную (в чатах и обращениях)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Соблюдение правил академического поведения</w:t>
            </w:r>
          </w:p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Пренебрегает правилами, мешает другим членам коллектива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ind w:right="-113" w:hanging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Полностью соблюдает правила с полным их пониманием, побуждает других членов группы придерживаться правил 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Строго соблюдает принципы врачебной этики и PRIMUM NON NOCERE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Соблюдение правил поведения в клинике</w:t>
            </w:r>
          </w:p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10 8 6 4 2 0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Нарушает правила.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Побуждает и провоцирует других членов группы нарушать правила</w:t>
            </w:r>
          </w:p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Создает угрозу пациенту 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Максимально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ind w:left="-141" w:right="-75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100 баллов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22" w:after="0"/>
              <w:ind w:right="-2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1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* грубое нарушение профессионального поведения, правил поведения в клинике – или снижение оценки по РК или аннулирование; этический комитет</w:t>
      </w:r>
    </w:p>
    <w:p>
      <w:pPr>
        <w:pStyle w:val="Normal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 подобным нарушениям является угроза здоровью пациентов из-за действия (например курение на территории клиники) или бездействия; грубость и хамство в отношении любого человека (пациента, одногруппника, коллеги, преподавателя, врача, медперсонала)</w:t>
      </w:r>
    </w:p>
    <w:p>
      <w:pPr>
        <w:pStyle w:val="Normal1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tbl>
      <w:tblPr>
        <w:tblStyle w:val="Table7"/>
        <w:tblW w:w="1487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2693"/>
        <w:gridCol w:w="2437"/>
        <w:gridCol w:w="2437"/>
        <w:gridCol w:w="2437"/>
        <w:gridCol w:w="2437"/>
        <w:gridCol w:w="2437"/>
      </w:tblGrid>
      <w:tr>
        <w:trPr>
          <w:trHeight w:val="20" w:hRule="atLeast"/>
        </w:trPr>
        <w:tc>
          <w:tcPr>
            <w:tcW w:w="148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ind w:right="-198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Балльно-рейтинговая оценка профессиональных навыков студентов – на миниклиническом экзамене</w:t>
            </w:r>
          </w:p>
        </w:tc>
      </w:tr>
      <w:tr>
        <w:trPr>
          <w:trHeight w:val="20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Профессиональные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навыки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4 балла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6 баллов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8 баллов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10 баллов</w:t>
            </w:r>
          </w:p>
        </w:tc>
      </w:tr>
      <w:tr>
        <w:trPr>
          <w:trHeight w:val="20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1. Сбор анамнеза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собран хаотично с детализацией не имеющих значения для диагностики фактов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собран несистематично с существенными упущениями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собран с фиксированием фактов, не дающих представления о сути заболевания и последовательности развития симптомов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собран систематично, но без достаточного уточнения характера основных симптомов и возможных причин их возникновения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собран систематично, анамнез полностью отражает динамику развития заболевания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2.  Физикальное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обследование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мануальными навыками не владеет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проведено хаотично, с упущениями, без эффекта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проведено недостаточно полно с техническими погрешностями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проведено систематично, но с незначительными техническими неточностями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проведено систематично, технически правильно и эффективно</w:t>
            </w:r>
          </w:p>
        </w:tc>
      </w:tr>
      <w:tr>
        <w:trPr>
          <w:trHeight w:val="20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3.  Предварительный             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   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диагноз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поставлен 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неправильно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указан только класс болезни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выделен ведущий синдром, но диагностического заключения нет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установлен верно, без обоснования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установлен верно, дано обоснование</w:t>
            </w:r>
          </w:p>
        </w:tc>
      </w:tr>
      <w:tr>
        <w:trPr>
          <w:trHeight w:val="20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4. Назначение плана           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обследования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назначены противопоказанные исследования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неадекватное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 полностью адекватное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адекватное, но с несущественными упущениями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полное и адекватное</w:t>
            </w:r>
          </w:p>
        </w:tc>
      </w:tr>
      <w:tr>
        <w:trPr>
          <w:trHeight w:val="20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5.    Интерпретация результатов обследования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неправильная оценка, приведшая к противопоказанным действиям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во многом не правильная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частично правильная с существенными упущениями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правильная с несущественными неточностями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полная и правильная</w:t>
            </w:r>
          </w:p>
        </w:tc>
      </w:tr>
      <w:tr>
        <w:trPr>
          <w:trHeight w:val="20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numPr>
                <w:ilvl w:val="0"/>
                <w:numId w:val="5"/>
              </w:numPr>
              <w:spacing w:lineRule="auto" w:line="240" w:before="0" w:after="0"/>
              <w:ind w:left="435" w:hanging="435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Дифференциаль -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ный диагноз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неадекватный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хаотичный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Неполный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проведён аргументировано, но не со всеми схожими заболеваниями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полный</w:t>
            </w:r>
          </w:p>
        </w:tc>
      </w:tr>
      <w:tr>
        <w:trPr>
          <w:trHeight w:val="20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Профессиональные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Навыки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4 балла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6 баллов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8 баллов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10 баллов</w:t>
            </w:r>
          </w:p>
        </w:tc>
      </w:tr>
      <w:tr>
        <w:trPr>
          <w:trHeight w:val="20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7.     Окончательный     диагноз и его обоснование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отсутствие клинического мышления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диагноз обоснован сумбурно, малоубедительно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диагноз недостаточно обоснован, не распознаны осложнения, сопутствующие заболевания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диагноз основного заболевания полный, но не указаны сопутствующие заболевания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исчерпывающе полный, обоснованный</w:t>
            </w:r>
          </w:p>
        </w:tc>
      </w:tr>
      <w:tr>
        <w:trPr>
          <w:trHeight w:val="20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8.  Выбор лечения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назначены противопоказанные препараты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недостаточно адекватный по существу и дозировке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лечение недостаточно полное и по основному и по сопутствующему заболеванию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правильное, но недостаточно исчерпывающее или полипрагмазия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лечение вполне адекватное</w:t>
            </w:r>
          </w:p>
        </w:tc>
      </w:tr>
      <w:tr>
        <w:trPr>
          <w:trHeight w:val="20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9.   Представление о механизме действия назначенных средств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неправильная трактовка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во многом ошибочное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частичное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ошибается в несущественных деталях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полное</w:t>
            </w:r>
          </w:p>
        </w:tc>
      </w:tr>
      <w:tr>
        <w:trPr>
          <w:trHeight w:val="20" w:hRule="atLeast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10. Определение прогноза и профилактики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 может определить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неадекватное определение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недостаточно адекватное и неполное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адекватное, но неполное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адекватное, полное</w:t>
            </w:r>
          </w:p>
        </w:tc>
      </w:tr>
    </w:tbl>
    <w:p>
      <w:pPr>
        <w:pStyle w:val="Normal1"/>
        <w:widowControl w:val="false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widowControl w:val="false"/>
        <w:tabs>
          <w:tab w:val="clear" w:pos="720"/>
          <w:tab w:val="left" w:pos="68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widowControl w:val="false"/>
        <w:tabs>
          <w:tab w:val="clear" w:pos="720"/>
          <w:tab w:val="left" w:pos="68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widowControl w:val="false"/>
        <w:tabs>
          <w:tab w:val="clear" w:pos="720"/>
          <w:tab w:val="left" w:pos="68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widowControl w:val="false"/>
        <w:tabs>
          <w:tab w:val="clear" w:pos="720"/>
          <w:tab w:val="left" w:pos="68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widowControl w:val="false"/>
        <w:tabs>
          <w:tab w:val="clear" w:pos="720"/>
          <w:tab w:val="left" w:pos="68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widowControl w:val="false"/>
        <w:tabs>
          <w:tab w:val="clear" w:pos="720"/>
          <w:tab w:val="left" w:pos="68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Балльно-рейтинговая оценка ведения истории болезни (максимально 100 баллов)</w:t>
      </w:r>
    </w:p>
    <w:tbl>
      <w:tblPr>
        <w:tblStyle w:val="Table8"/>
        <w:tblW w:w="15448" w:type="dxa"/>
        <w:jc w:val="left"/>
        <w:tblInd w:w="-4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65"/>
        <w:gridCol w:w="3259"/>
        <w:gridCol w:w="2835"/>
        <w:gridCol w:w="2268"/>
        <w:gridCol w:w="1985"/>
        <w:gridCol w:w="2410"/>
        <w:gridCol w:w="2125"/>
      </w:tblGrid>
      <w:tr>
        <w:trPr>
          <w:trHeight w:val="20" w:hRule="atLeast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Критерии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(оценивается по бальной системе)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0" w:hRule="atLeast"/>
        </w:trPr>
        <w:tc>
          <w:tcPr>
            <w:tcW w:w="5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</w:rPr>
              <w:t>выше среднего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</w:rPr>
              <w:t>приемлемый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</w:rPr>
              <w:t>требует исправления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</w:rPr>
              <w:t>неприемлемо</w:t>
            </w:r>
          </w:p>
        </w:tc>
      </w:tr>
      <w:tr>
        <w:trPr>
          <w:trHeight w:val="2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Жалобы больного: основные и второстепенные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Полно и систематизировано, с пониманием важных деталей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Точно и полно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Основная информация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Неполно или неточно, упущены неко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торые детали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Упускает важное</w:t>
            </w:r>
          </w:p>
        </w:tc>
      </w:tr>
      <w:tr>
        <w:trPr>
          <w:trHeight w:val="2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Сбор анамнеза  заболевания</w:t>
            </w:r>
          </w:p>
        </w:tc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Анамнез жизни</w:t>
            </w:r>
          </w:p>
        </w:tc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Отражение объективного статуса на момент осмотра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Эффективно, организованно и сосредоточено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Последовательно и правильно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Выявление основых данных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Неполно или не совсем правильно, не внимателен к удобству пациента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Несоответствующие данные</w:t>
            </w:r>
          </w:p>
        </w:tc>
      </w:tr>
      <w:tr>
        <w:trPr>
          <w:trHeight w:val="2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Постановка диагноза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Максимально полное обоснование и формулировка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Понимает проблему в комплексе, связывает с особенностями пациента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Правильный и обоснованный с точки зрения основной патологии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Основной диагноз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Ординарный подход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18" w:after="0"/>
              <w:ind w:right="-20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Часто неправильное установление приоритетов клинических проблем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Неправильное суждение, действия могут быть опасны для пациента</w:t>
            </w:r>
          </w:p>
        </w:tc>
      </w:tr>
      <w:tr>
        <w:trPr>
          <w:trHeight w:val="2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План обследования </w:t>
            </w:r>
          </w:p>
        </w:tc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План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лечения конкретного пациента с учетом основной и сопутствующей патологии</w:t>
            </w:r>
          </w:p>
        </w:tc>
        <w:tc>
          <w:tcPr>
            <w:tcW w:w="28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Дневник наблюдения, этапные и выписные эпикризы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Аналитичный в оценке и плане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Точный, краткий, организованный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Отражает динамику, новые данные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Неупорядоченно, пропущены важные данные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Нет основных данных или неточные данные</w:t>
            </w:r>
          </w:p>
        </w:tc>
      </w:tr>
      <w:tr>
        <w:trPr>
          <w:trHeight w:val="2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Представление истории болезни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акцент на проблемы, выбор ключевых фактов полное владение  ситуацией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точный, сфокусированный; выбор фактов показывает понимание проблемы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Доклад по форме, включает всю основную информацию;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Много важных упущений, часто включает недостоверные или неважные факты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Невладение ситуацией, много важных упущений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много уточняющих вопросов</w:t>
            </w:r>
          </w:p>
        </w:tc>
      </w:tr>
      <w:tr>
        <w:trPr>
          <w:trHeight w:val="20" w:hRule="atLeast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Теоретические знания применительно к данному случаю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Полное понимание проблемы отличные знания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Знает диф.Дз. Знает основное и особенности, варианты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Знает основное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Не всегда полное понимание проблемы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Большие пробелы в знаниях</w:t>
            </w:r>
          </w:p>
        </w:tc>
      </w:tr>
    </w:tbl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br w:type="page"/>
      </w:r>
      <w:r>
        <w:rPr>
          <w:rFonts w:eastAsia="Times New Roman" w:cs="Times New Roman" w:ascii="Times New Roman" w:hAnsi="Times New Roman"/>
          <w:b/>
          <w:sz w:val="24"/>
          <w:szCs w:val="24"/>
        </w:rPr>
        <w:t>Балльно-рейтинговая оценка cеминара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>(максимально 100 баллов)</w:t>
      </w:r>
    </w:p>
    <w:tbl>
      <w:tblPr>
        <w:tblStyle w:val="Table9"/>
        <w:tblW w:w="15161" w:type="dxa"/>
        <w:jc w:val="left"/>
        <w:tblInd w:w="-14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711"/>
        <w:gridCol w:w="427"/>
        <w:gridCol w:w="4495"/>
        <w:gridCol w:w="1906"/>
        <w:gridCol w:w="1906"/>
        <w:gridCol w:w="1906"/>
        <w:gridCol w:w="1905"/>
        <w:gridCol w:w="1903"/>
      </w:tblGrid>
      <w:tr>
        <w:trPr>
          <w:trHeight w:val="20" w:hRule="atLeast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ind w:left="113" w:hanging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4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Критерии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(оценивается по бальной системе)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20" w:hRule="atLeast"/>
          <w:cantSplit w:val="true"/>
        </w:trPr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4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44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olor w:val="000000"/>
                <w:sz w:val="24"/>
                <w:szCs w:val="24"/>
              </w:rPr>
              <w:t>отлично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</w:rPr>
              <w:t>выше среднего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</w:rPr>
              <w:t>приемлемый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</w:rPr>
              <w:t>требует исправления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</w:rPr>
              <w:t>неприемлемо</w:t>
            </w:r>
          </w:p>
        </w:tc>
      </w:tr>
      <w:tr>
        <w:trPr>
          <w:trHeight w:val="20" w:hRule="atLeast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ind w:left="113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Устный опрос, обсуждение.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Базовые теоретические знания фундаментальных дисциплин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Полное усвоение программного материала. Проявил оригинальное мышление. Самостоятельно использовал дополнительную литературу.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Проявил стандартное мышление с полным усвоением программного материала.</w:t>
            </w:r>
          </w:p>
        </w:tc>
        <w:tc>
          <w:tcPr>
            <w:tcW w:w="19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Усвоение материала с непринципиальными неточностями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 ответах.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Усвоение основных положений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Понимание своих ошибок и готовность их исправить</w:t>
            </w:r>
          </w:p>
        </w:tc>
        <w:tc>
          <w:tcPr>
            <w:tcW w:w="1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Принципиальные ошибки</w:t>
            </w:r>
          </w:p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Постоянно путается в ответах, не проработал основную литературу</w:t>
            </w:r>
          </w:p>
        </w:tc>
      </w:tr>
      <w:tr>
        <w:trPr>
          <w:trHeight w:val="20" w:hRule="atLeast"/>
        </w:trPr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Знание этиологии, патогенеза</w:t>
            </w:r>
          </w:p>
        </w:tc>
        <w:tc>
          <w:tcPr>
            <w:tcW w:w="19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Знание клинических проявлений</w:t>
            </w:r>
          </w:p>
        </w:tc>
        <w:tc>
          <w:tcPr>
            <w:tcW w:w="19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Интерпретация данных обследования</w:t>
            </w:r>
          </w:p>
        </w:tc>
        <w:tc>
          <w:tcPr>
            <w:tcW w:w="19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Дифференциальный диагноз, выбор тактики обследования с пониманием информативности и достоверности тестов  </w:t>
            </w:r>
          </w:p>
        </w:tc>
        <w:tc>
          <w:tcPr>
            <w:tcW w:w="19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</w:trPr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Выбор тактики лечения с пониманием механизма действия препаратов</w:t>
            </w:r>
          </w:p>
        </w:tc>
        <w:tc>
          <w:tcPr>
            <w:tcW w:w="19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Тактика ведения пациента: осложнения, прогноз, исходы</w:t>
            </w:r>
          </w:p>
        </w:tc>
        <w:tc>
          <w:tcPr>
            <w:tcW w:w="19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ind w:left="113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Решение Тестовых заданий – 20 тестов 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1 тест- 1 балл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</w:tr>
      <w:tr>
        <w:trPr>
          <w:trHeight w:val="20" w:hRule="atLeast"/>
          <w:cantSplit w:val="true"/>
        </w:trPr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Групповые коммуникативные навыки и профессиональное отношение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(особенно при использовании ИМО)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Контактный и продуктивный член команды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</w:tr>
    </w:tbl>
    <w:p>
      <w:pPr>
        <w:pStyle w:val="Normal1"/>
        <w:rPr>
          <w:rFonts w:ascii="Times New Roman" w:hAnsi="Times New Roman" w:eastAsia="Times New Roman" w:cs="Times New Roman"/>
          <w:b/>
          <w:b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szCs w:val="24"/>
        </w:rPr>
      </w:r>
    </w:p>
    <w:p>
      <w:pPr>
        <w:pStyle w:val="Normal1"/>
        <w:widowControl w:val="false"/>
        <w:jc w:val="both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1"/>
        <w:widowControl w:val="false"/>
        <w:jc w:val="both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1"/>
        <w:widowControl w:val="false"/>
        <w:jc w:val="both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1"/>
        <w:widowControl w:val="false"/>
        <w:jc w:val="both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1"/>
        <w:widowControl w:val="false"/>
        <w:jc w:val="both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</w:p>
    <w:p>
      <w:pPr>
        <w:pStyle w:val="Normal1"/>
        <w:ind w:left="-426" w:hanging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Балльно-рейтинговая оценка практических навыков у постели больного – курация (максимально 100 баллов)</w:t>
      </w:r>
    </w:p>
    <w:tbl>
      <w:tblPr>
        <w:tblStyle w:val="Table10"/>
        <w:tblW w:w="15168" w:type="dxa"/>
        <w:jc w:val="left"/>
        <w:tblInd w:w="-14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67"/>
        <w:gridCol w:w="1984"/>
        <w:gridCol w:w="3543"/>
        <w:gridCol w:w="3260"/>
        <w:gridCol w:w="3258"/>
        <w:gridCol w:w="2555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10 баллов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8 баллов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6 баллов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4 балла</w:t>
            </w:r>
          </w:p>
        </w:tc>
      </w:tr>
      <w:tr>
        <w:trPr/>
        <w:tc>
          <w:tcPr>
            <w:tcW w:w="15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mc:AlternateContent>
                <mc:Choice Requires="wps">
                  <w:drawing>
                    <wp:anchor behindDoc="1" distT="0" distB="0" distL="0" distR="0" simplePos="0" locked="0" layoutInCell="0" allowOverlap="1" relativeHeight="2">
                      <wp:simplePos x="0" y="0"/>
                      <wp:positionH relativeFrom="column">
                        <wp:posOffset>4191000</wp:posOffset>
                      </wp:positionH>
                      <wp:positionV relativeFrom="paragraph">
                        <wp:posOffset>127000</wp:posOffset>
                      </wp:positionV>
                      <wp:extent cx="9525" cy="9525"/>
                      <wp:effectExtent l="0" t="0" r="0" b="0"/>
                      <wp:wrapNone/>
                      <wp:docPr id="1" name="Shape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60" cy="9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22"/>
                                    <w:widowControl w:val="false"/>
                                    <w:spacing w:lineRule="exact" w:line="258" w:before="0" w:after="160"/>
                                    <w:ind w:left="0" w:right="0" w:hanging="0"/>
                                    <w:jc w:val="left"/>
                                    <w:rPr/>
                                  </w:pPr>
                                  <w:r>
                                    <w:rPr/>
                                  </w:r>
                                </w:p>
                              </w:txbxContent>
                            </wps:txbx>
                            <wps:bodyPr tIns="365760" bIns="36576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Shape 2" path="m0,0l-2147483645,0l-2147483645,-2147483646l0,-2147483646xe" fillcolor="black" stroked="f" o:allowincell="f" style="position:absolute;margin-left:330pt;margin-top:10pt;width:0.7pt;height:0.7pt;mso-wrap-style:none;v-text-anchor:middle">
                      <v:fill o:detectmouseclick="t" type="solid" color2="whit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22"/>
                              <w:widowControl w:val="false"/>
                              <w:spacing w:lineRule="exact" w:line="258" w:before="0" w:after="160"/>
                              <w:ind w:left="0" w:right="0"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ОПРОС БОЛЬНОГО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Полнота и точность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Точный, детализирует проявления болезни. Умеет выделить наиболее важную проблему. 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 вниманием к удобству пациента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Собирает основную информацию, аккуратный, идентифицирует новые проблемы.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Неполный или не сосредоточенный.</w:t>
              <w:tab/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Неточный, упускает главное, несоответствующие данные.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Детализированность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Организованный, сосредоточенный, выделяет все клинические проявления с пониманием течения заболевания в конкретной ситуации.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Выявляет основные симптомы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Неполные данные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Демонстрирует несоответствующие действительности данные, либо их отсутствие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Системность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Установление приоритетов клинических проблем за относительно короткое время.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 удается полностью контролировать процесс сбора анамнеза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Позволяет пациенту увести себя в сторону, за счет чего удлиняется время. Использует наводящие вопросы (наталкивает пациента на ответ, который может быть неправильным).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Неправильно задает вопросы или заканчивает сбор анамнеза раньше, не выявив важные проблемы. 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Тайм-менеджмент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Максимально эффективно за максимально короткое время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время сбора анамнеза затягивается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Тратит время неэффективно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 владеет ситуацией в целом.</w:t>
            </w:r>
          </w:p>
        </w:tc>
      </w:tr>
      <w:tr>
        <w:trPr/>
        <w:tc>
          <w:tcPr>
            <w:tcW w:w="151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ФИЗИКАЛЬНОЕ ОБСЛЕДОВАНИЕ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Последовательность и правильность проведения физикального обследования</w:t>
            </w:r>
          </w:p>
        </w:tc>
        <w:tc>
          <w:tcPr>
            <w:tcW w:w="3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Выполняет правильно с соблюдением последовательности, уверенный, четко отработанная техника выполнения.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Знает последовательность, показывает разумный навык в подготовке и выполнении обследования</w:t>
            </w:r>
          </w:p>
        </w:tc>
        <w:tc>
          <w:tcPr>
            <w:tcW w:w="3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Непоследовательный, неуверенный, неполностью владеет навыками обследования, отказывается пробовать основные исследования</w:t>
            </w:r>
          </w:p>
        </w:tc>
        <w:tc>
          <w:tcPr>
            <w:tcW w:w="2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 знает порядок и последовательность выполнения физикального осмотра, не владеет его техникой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Навык специального обследования по заданию преподавателя* </w:t>
            </w:r>
          </w:p>
        </w:tc>
        <w:tc>
          <w:tcPr>
            <w:tcW w:w="35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25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Эффективность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Выявил все основные физикальные данные, а также детали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Выявил основные симптомы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Неполные данные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Выявил данные, не соответствующие объективным данным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Умение анализировать выявленные данные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Меняет порядок обследования в зависимости от выявленных симптомов, уточняет, детализирует проявления.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Предполагает круг заболеваний с похожими изменениями без  уточнений и детализации проявлений.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 может применить полученные данные опроса и физикального осмотра к пациенту.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 проводит анализа.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20 баллов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16 баллов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12 баллов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8 баллов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9-10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Коммуникативные навыки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Завоевал расположение пациента даже в ситуации с коммуникативной проблемой*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Коммуникация вполне эффективна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 удалось найти контакт с пациентом</w:t>
            </w:r>
          </w:p>
        </w:tc>
      </w:tr>
    </w:tbl>
    <w:p>
      <w:pPr>
        <w:pStyle w:val="Normal1"/>
        <w:widowControl w:val="false"/>
        <w:jc w:val="both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</w:r>
      <w:r>
        <w:br w:type="page"/>
      </w:r>
    </w:p>
    <w:p>
      <w:pPr>
        <w:pStyle w:val="Normal1"/>
        <w:spacing w:lineRule="auto" w:line="240" w:before="0" w:after="0"/>
        <w:ind w:left="-426" w:hanging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Балльно-рейтинговая оценка СРС – творческого задания (максимально 90 баллов) + бонусы за английский язык и тайм-менеджмент</w:t>
      </w:r>
    </w:p>
    <w:tbl>
      <w:tblPr>
        <w:tblStyle w:val="Table11"/>
        <w:tblW w:w="15738" w:type="dxa"/>
        <w:jc w:val="left"/>
        <w:tblInd w:w="-57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69"/>
        <w:gridCol w:w="2580"/>
        <w:gridCol w:w="3402"/>
        <w:gridCol w:w="3260"/>
        <w:gridCol w:w="2977"/>
        <w:gridCol w:w="2949"/>
      </w:tblGrid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 xml:space="preserve">Сосредоточенность на проблеме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Организованный сосредоточенный, выделяет все относящиеся к основной выявленной проблеме вопросы с пониманием конкретной клиничеcкой ситуации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Организованный, сосредоточенный, выделяет все относящиеся к основной выявленной проблеме вопросы, но нет понимания  конкретной клиничеcкой ситуации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Несосредоточенный, 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Отвлечение на не относящиеся к основной выявленной проблеме вопросы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Неточный, упускает главное, несоответствующие данные.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Информативность, эффективность презентации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Полностью донесена вся необходимая информация по теме в свободной, последовательной, логичной  манере 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Адекватно выбрана форма продукта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Донесена вся необходимая информация в логичной  манере, но с мелкими неточностями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Вся необходимая информация по теме изложена хаотично, с негрубыми ошибками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 отражена важная информация по теме, грубые ошибки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Достоверность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Материал выбран на основании достоверно установленных фактов.  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Проявление понимания по уровню или качеству доказательств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Некоторые выводы и заключения сформулированы на основании допущений или некорректных фактов.  Нет полного  понимания уровня или качества доказательств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 достаточное понимание проблемы, некоторые выводы и заключения основаны на неполных и не доказанных данных – использованы сомнительные ресурсы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Выводы и заключения не обоснованы или неправильный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Логичность и последовательность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Изложение логично и последо-вательно, имеет внутреннее единство, положения в продукте вытекают один из другого и логично взаимосвязаны между собой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Имеет внутреннее единство, положения продукта вытекает один из другого , но есть неточности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Нет последовательности и логичности в изложении, но удается отследить основную идею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Перескакивает с одного на другое, трудно уловить основную идею 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Анализ литературы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Литературные данные представлены в логичной взаимосвязи, демонстрируют глубокую проработку основных и дополнительных информационных ресурсов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Литературные данные демонстрируют проработку основной литературы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Литературные данные не всегда к месту, не поддерживают логичность и доказательность изложений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Непоследовательность и хаотичность в изложении данных, противоречивость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Нет знаний по основному учебнику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Практическая значимость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Высокая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Значимо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Не достаточно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Не приемлемо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Ориентированность на интересы пациента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Высокая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Ориентированы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Не достаточно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Не приемлемо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 xml:space="preserve">Применимость в будущей практике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Высокая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Применимо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Не достаточно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Не приемлемо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</w:rPr>
              <w:t>Наглядность презентации, качество доклада (оценка докладчика)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Корректно, к месту использованы все возможности Power Point или других е-гаджетов, свободное  владение материалом, уверенная манера изложения 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Перегружена или недостаточно используются наглядные материалы,  неполное владение материалом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Наглядные материалы не информативны не уверенно докладывает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Не владеет материалом, не умеет его изложить </w:t>
            </w:r>
          </w:p>
        </w:tc>
      </w:tr>
      <w:tr>
        <w:trPr>
          <w:trHeight w:val="427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бонус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Продукт полностью сдан на английском языке (проверяет зав. кафедрой)  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+ 10-20 баллов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в зависимости от качества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Продукт подготовлен на английском, сдан на рус/каз 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+ 5-10 баллов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в зависимости от качества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При подготовке продукта использованы аглоязычные источники 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+ 2-5 баллов в зависимости от качества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27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бонус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Тайм-менеджмент*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Продукт сдан раньше срока  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набавляется 10 баллов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Продукт сдан вовремя –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баллы не набавляются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Отсрочка сдачи, не влияющая на качество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 xml:space="preserve">Минус 2 балла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Сдан с опозданием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Минус 10 баллов</w:t>
            </w:r>
          </w:p>
        </w:tc>
      </w:tr>
      <w:tr>
        <w:trPr>
          <w:trHeight w:val="427" w:hRule="atLeast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 xml:space="preserve">Бонус 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 xml:space="preserve">Рейтинг** 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Обязательно объяснить за что присуждается данный бонус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Дополнительные баллы (до 10 баллов) </w:t>
            </w:r>
          </w:p>
        </w:tc>
        <w:tc>
          <w:tcPr>
            <w:tcW w:w="91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Выдающаяся работа, например: 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Лучшая работа в группе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Творческий подход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Инновационный подход к выполнению задания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По предложению группы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1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*Срок -  определяется преподавателем, как правило – день рубежного контроля</w:t>
            </w:r>
          </w:p>
          <w:p>
            <w:pPr>
              <w:pStyle w:val="Normal1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** таким образом, максимально можно получить 90 баллов, чтобы получить выше 90 – нужно показать результат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</w:rPr>
              <w:t>выше ожидаемого</w:t>
            </w:r>
          </w:p>
        </w:tc>
      </w:tr>
    </w:tbl>
    <w:p>
      <w:pPr>
        <w:pStyle w:val="Normal1"/>
        <w:spacing w:lineRule="auto" w:line="240" w:before="0" w:after="160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/>
      </w:r>
    </w:p>
    <w:sectPr>
      <w:type w:val="nextPage"/>
      <w:pgSz w:orient="landscape" w:w="16838" w:h="11906"/>
      <w:pgMar w:left="1134" w:right="1134" w:gutter="0" w:header="0" w:top="850" w:footer="0" w:bottom="170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  <w:font w:name="Noto Sans Symbols">
    <w:charset w:val="01"/>
    <w:family w:val="swiss"/>
    <w:pitch w:val="default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91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111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31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51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71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91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711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31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51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6"/>
      <w:numFmt w:val="decimal"/>
      <w:lvlText w:val="%1."/>
      <w:lvlJc w:val="left"/>
      <w:pPr>
        <w:tabs>
          <w:tab w:val="num" w:pos="0"/>
        </w:tabs>
        <w:ind w:left="435" w:hanging="435"/>
      </w:pPr>
      <w:rPr/>
    </w:lvl>
    <w:lvl w:ilvl="1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"/>
      <w:lvlJc w:val="left"/>
      <w:pPr>
        <w:tabs>
          <w:tab w:val="num" w:pos="0"/>
        </w:tabs>
        <w:ind w:left="0" w:hanging="0"/>
      </w:pPr>
      <w:rPr>
        <w:rFonts w:ascii="Noto Sans Symbols" w:hAnsi="Noto Sans Symbols" w:cs="Noto Sans Symbol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bullet"/>
      <w:lvlText w:val="✔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rsid w:val="00514c58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</w:rPr>
  </w:style>
  <w:style w:type="paragraph" w:styleId="1">
    <w:name w:val="Heading 1"/>
    <w:basedOn w:val="Normal1"/>
    <w:next w:val="Normal1"/>
    <w:link w:val="11"/>
    <w:uiPriority w:val="9"/>
    <w:qFormat/>
    <w:rsid w:val="00381004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Normal1"/>
    <w:next w:val="Normal1"/>
    <w:link w:val="21"/>
    <w:uiPriority w:val="9"/>
    <w:unhideWhenUsed/>
    <w:qFormat/>
    <w:rsid w:val="00044556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paragraph" w:styleId="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fe4382"/>
    <w:rPr/>
  </w:style>
  <w:style w:type="character" w:styleId="Eop" w:customStyle="1">
    <w:name w:val="eop"/>
    <w:basedOn w:val="DefaultParagraphFont"/>
    <w:qFormat/>
    <w:rsid w:val="00fe4382"/>
    <w:rPr/>
  </w:style>
  <w:style w:type="character" w:styleId="Style8">
    <w:name w:val="Интернет-ссылка"/>
    <w:basedOn w:val="DefaultParagraphFont"/>
    <w:uiPriority w:val="99"/>
    <w:unhideWhenUsed/>
    <w:rsid w:val="0061266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10b1f"/>
    <w:rPr>
      <w:color w:val="605E5C"/>
      <w:shd w:fill="E1DFDD" w:val="clear"/>
    </w:rPr>
  </w:style>
  <w:style w:type="character" w:styleId="Style9" w:customStyle="1">
    <w:name w:val="Абзац списка Знак"/>
    <w:link w:val="ListParagraph"/>
    <w:uiPriority w:val="34"/>
    <w:qFormat/>
    <w:locked/>
    <w:rsid w:val="00dc0998"/>
    <w:rPr/>
  </w:style>
  <w:style w:type="character" w:styleId="Shorttext" w:customStyle="1">
    <w:name w:val="short_text"/>
    <w:qFormat/>
    <w:rsid w:val="00ae4178"/>
    <w:rPr/>
  </w:style>
  <w:style w:type="character" w:styleId="Style10" w:customStyle="1">
    <w:name w:val="Основной текст с отступом Знак"/>
    <w:basedOn w:val="DefaultParagraphFont"/>
    <w:uiPriority w:val="99"/>
    <w:qFormat/>
    <w:rsid w:val="00ae4178"/>
    <w:rPr>
      <w:rFonts w:ascii="Calibri" w:hAnsi="Calibri" w:eastAsia="Calibri" w:cs="Calibri"/>
      <w:kern w:val="0"/>
    </w:rPr>
  </w:style>
  <w:style w:type="character" w:styleId="Style11" w:customStyle="1">
    <w:name w:val="Обычный (Интернет) Знак"/>
    <w:link w:val="NormalWeb"/>
    <w:uiPriority w:val="34"/>
    <w:qFormat/>
    <w:locked/>
    <w:rsid w:val="00ae4178"/>
    <w:rPr>
      <w:rFonts w:ascii="Times New Roman" w:hAnsi="Times New Roman" w:eastAsia="Times New Roman" w:cs="Times New Roman"/>
      <w:kern w:val="0"/>
      <w:sz w:val="24"/>
      <w:szCs w:val="24"/>
      <w:lang w:eastAsia="ru-RU"/>
    </w:rPr>
  </w:style>
  <w:style w:type="character" w:styleId="FontStyle53" w:customStyle="1">
    <w:name w:val="Font Style53"/>
    <w:qFormat/>
    <w:rsid w:val="00143c95"/>
    <w:rPr>
      <w:rFonts w:ascii="Times New Roman" w:hAnsi="Times New Roman" w:cs="Times New Roman"/>
      <w:b/>
      <w:bCs/>
      <w:sz w:val="22"/>
      <w:szCs w:val="22"/>
    </w:rPr>
  </w:style>
  <w:style w:type="character" w:styleId="Style12">
    <w:name w:val="Посещённая гиперссылка"/>
    <w:basedOn w:val="DefaultParagraphFont"/>
    <w:uiPriority w:val="99"/>
    <w:semiHidden/>
    <w:unhideWhenUsed/>
    <w:rsid w:val="009c28d3"/>
    <w:rPr>
      <w:color w:val="954F72" w:themeColor="followedHyperlink"/>
      <w:u w:val="single"/>
    </w:rPr>
  </w:style>
  <w:style w:type="character" w:styleId="11" w:customStyle="1">
    <w:name w:val="Заголовок 1 Знак"/>
    <w:basedOn w:val="DefaultParagraphFont"/>
    <w:uiPriority w:val="9"/>
    <w:qFormat/>
    <w:rsid w:val="00381004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fb6a6b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uiPriority w:val="99"/>
    <w:semiHidden/>
    <w:qFormat/>
    <w:rsid w:val="00fb6a6b"/>
    <w:rPr>
      <w:sz w:val="20"/>
      <w:szCs w:val="20"/>
    </w:rPr>
  </w:style>
  <w:style w:type="character" w:styleId="Style14" w:customStyle="1">
    <w:name w:val="Тема примечания Знак"/>
    <w:basedOn w:val="Style13"/>
    <w:link w:val="Annotationsubject"/>
    <w:uiPriority w:val="99"/>
    <w:semiHidden/>
    <w:qFormat/>
    <w:rsid w:val="00fb6a6b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f385d"/>
    <w:rPr>
      <w:b/>
      <w:bCs/>
    </w:rPr>
  </w:style>
  <w:style w:type="character" w:styleId="Author" w:customStyle="1">
    <w:name w:val="author"/>
    <w:basedOn w:val="DefaultParagraphFont"/>
    <w:qFormat/>
    <w:rsid w:val="00af3494"/>
    <w:rPr/>
  </w:style>
  <w:style w:type="character" w:styleId="Acolorsecondary" w:customStyle="1">
    <w:name w:val="a-color-secondary"/>
    <w:basedOn w:val="DefaultParagraphFont"/>
    <w:qFormat/>
    <w:rsid w:val="00af3494"/>
    <w:rPr/>
  </w:style>
  <w:style w:type="character" w:styleId="21" w:customStyle="1">
    <w:name w:val="Заголовок 2 Знак"/>
    <w:basedOn w:val="DefaultParagraphFont"/>
    <w:uiPriority w:val="9"/>
    <w:qFormat/>
    <w:rsid w:val="00044556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character" w:styleId="Delimiter" w:customStyle="1">
    <w:name w:val="delimiter"/>
    <w:basedOn w:val="DefaultParagraphFont"/>
    <w:qFormat/>
    <w:rsid w:val="00044556"/>
    <w:rPr/>
  </w:style>
  <w:style w:type="paragraph" w:styleId="Style15">
    <w:name w:val="Заголовок"/>
    <w:basedOn w:val="Normal1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1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1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1"/>
    <w:qFormat/>
    <w:pPr>
      <w:suppressLineNumbers/>
    </w:pPr>
    <w:rPr>
      <w:rFonts w:cs="Lohit Devanagari"/>
    </w:rPr>
  </w:style>
  <w:style w:type="paragraph" w:styleId="Normal1" w:default="1">
    <w:name w:val="LO-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hi-IN"/>
    </w:rPr>
  </w:style>
  <w:style w:type="paragraph" w:styleId="Style20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ListParagraph">
    <w:name w:val="List Paragraph"/>
    <w:basedOn w:val="Normal1"/>
    <w:link w:val="Style9"/>
    <w:uiPriority w:val="34"/>
    <w:qFormat/>
    <w:rsid w:val="00fe4382"/>
    <w:pPr>
      <w:spacing w:before="0" w:after="160"/>
      <w:ind w:left="720" w:hanging="0"/>
      <w:contextualSpacing/>
    </w:pPr>
    <w:rPr/>
  </w:style>
  <w:style w:type="paragraph" w:styleId="Paragraph" w:customStyle="1">
    <w:name w:val="paragraph"/>
    <w:basedOn w:val="Normal1"/>
    <w:qFormat/>
    <w:rsid w:val="00b34d06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ru-RU"/>
    </w:rPr>
  </w:style>
  <w:style w:type="paragraph" w:styleId="Style21">
    <w:name w:val="Body Text Indent"/>
    <w:basedOn w:val="Normal1"/>
    <w:link w:val="Style10"/>
    <w:uiPriority w:val="99"/>
    <w:unhideWhenUsed/>
    <w:rsid w:val="00ae4178"/>
    <w:pPr>
      <w:spacing w:lineRule="auto" w:line="276" w:before="0" w:after="120"/>
      <w:ind w:left="283" w:hanging="0"/>
    </w:pPr>
    <w:rPr>
      <w:rFonts w:ascii="Calibri" w:hAnsi="Calibri" w:eastAsia="Calibri" w:cs="Calibri"/>
      <w:kern w:val="0"/>
    </w:rPr>
  </w:style>
  <w:style w:type="paragraph" w:styleId="NormalWeb">
    <w:name w:val="Normal (Web)"/>
    <w:basedOn w:val="Normal1"/>
    <w:link w:val="Style11"/>
    <w:uiPriority w:val="99"/>
    <w:qFormat/>
    <w:rsid w:val="00ae4178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ru-RU"/>
    </w:rPr>
  </w:style>
  <w:style w:type="paragraph" w:styleId="Annotationtext">
    <w:name w:val="annotation text"/>
    <w:basedOn w:val="Normal1"/>
    <w:link w:val="Style13"/>
    <w:uiPriority w:val="99"/>
    <w:semiHidden/>
    <w:unhideWhenUsed/>
    <w:qFormat/>
    <w:rsid w:val="00fb6a6b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4"/>
    <w:uiPriority w:val="99"/>
    <w:semiHidden/>
    <w:unhideWhenUsed/>
    <w:qFormat/>
    <w:rsid w:val="00fb6a6b"/>
    <w:pPr/>
    <w:rPr>
      <w:b/>
      <w:bCs/>
    </w:rPr>
  </w:style>
  <w:style w:type="paragraph" w:styleId="Revision">
    <w:name w:val="Revision"/>
    <w:uiPriority w:val="99"/>
    <w:semiHidden/>
    <w:qFormat/>
    <w:rsid w:val="00fb6a6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</w:rPr>
  </w:style>
  <w:style w:type="paragraph" w:styleId="Style22">
    <w:name w:val="Содержимое врезки"/>
    <w:basedOn w:val="Normal1"/>
    <w:qFormat/>
    <w:pPr/>
    <w:rPr/>
  </w:style>
  <w:style w:type="paragraph" w:styleId="Style23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54a3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queensu.ca/ctl/resources/instructional-strategies/problem-based-learning" TargetMode="External"/><Relationship Id="rId3" Type="http://schemas.openxmlformats.org/officeDocument/2006/relationships/hyperlink" Target="https://www.amazon.com/s/ref=dp_byline_sr_book_1?ie=UTF8&amp;field-author=Anthony+S.+Fauci&amp;text=Anthony+S.+Fauci&amp;sort=relevancerank&amp;search-alias=books" TargetMode="External"/><Relationship Id="rId4" Type="http://schemas.openxmlformats.org/officeDocument/2006/relationships/hyperlink" Target="https://www.amazon.com/Eugene-Braunwald/e/B000APRBT8/ref=dp_byline_cont_book_2" TargetMode="External"/><Relationship Id="rId5" Type="http://schemas.openxmlformats.org/officeDocument/2006/relationships/hyperlink" Target="https://www.amazon.com/Dennis-L-Kasper/e/B001ILFNIO/ref=dp_byline_cont_book_3" TargetMode="External"/><Relationship Id="rId6" Type="http://schemas.openxmlformats.org/officeDocument/2006/relationships/hyperlink" Target="https://www.amazon.com/s/ref=dp_byline_sr_book_4?ie=UTF8&amp;field-author=Stephen+L.+Hauser&amp;text=Stephen+L.+Hauser&amp;sort=relevancerank&amp;search-alias=books" TargetMode="External"/><Relationship Id="rId7" Type="http://schemas.openxmlformats.org/officeDocument/2006/relationships/hyperlink" Target="https://www.amazon.com/s/ref=dp_byline_sr_book_1?ie=UTF8&amp;field-author=John+E.+Bennett+MD&amp;text=John+E.+Bennett+MD&amp;sort=relevancerank&amp;search-alias=books" TargetMode="External"/><Relationship Id="rId8" Type="http://schemas.openxmlformats.org/officeDocument/2006/relationships/hyperlink" Target="https://www.amazon.com/s/ref=dp_byline_sr_book_2?ie=UTF8&amp;field-author=Raphael+Dolin+MD&amp;text=Raphael+Dolin+MD&amp;sort=relevancerank&amp;search-alias=books" TargetMode="External"/><Relationship Id="rId9" Type="http://schemas.openxmlformats.org/officeDocument/2006/relationships/hyperlink" Target="https://www.amazon.com/s/ref=dp_byline_sr_book_3?ie=UTF8&amp;field-author=Martin+J.+Blaser+MD&amp;text=Martin+J.+Blaser+MD&amp;sort=relevancerank&amp;search-alias=books" TargetMode="External"/><Relationship Id="rId10" Type="http://schemas.openxmlformats.org/officeDocument/2006/relationships/hyperlink" Target="https://www.amazon.com/s/ref=dp_byline_sr_ebooks_1?ie=UTF8&amp;field-author=Joseph+J.+Zorc&amp;text=Joseph+J.+Zorc&amp;sort=relevancerank&amp;search-alias=digital-text" TargetMode="External"/><Relationship Id="rId11" Type="http://schemas.openxmlformats.org/officeDocument/2006/relationships/hyperlink" Target="https://www.amazon.com/s/ref=dp_byline_sr_ebooks_2?ie=UTF8&amp;field-author=Elizabeth+R.+Alpern&amp;text=Elizabeth+R.+Alpern&amp;sort=relevancerank&amp;search-alias=digital-text" TargetMode="External"/><Relationship Id="rId12" Type="http://schemas.openxmlformats.org/officeDocument/2006/relationships/hyperlink" Target="https://www.amazon.com/s/ref=dp_byline_sr_ebooks_3?ie=UTF8&amp;field-author=Lawrence+W.+Brown&amp;text=Lawrence+W.+Brown&amp;sort=relevancerank&amp;search-alias=digital-text" TargetMode="External"/><Relationship Id="rId13" Type="http://schemas.openxmlformats.org/officeDocument/2006/relationships/hyperlink" Target="https://www.amazon.com/s/ref=dp_byline_sr_ebooks_4?ie=UTF8&amp;field-author=Kathleen+M.+Loomes&amp;text=Kathleen+M.+Loomes&amp;sort=relevancerank&amp;search-alias=digital-text" TargetMode="External"/><Relationship Id="rId14" Type="http://schemas.openxmlformats.org/officeDocument/2006/relationships/hyperlink" Target="https://www.amazon.com/s/ref=dp_byline_sr_book_1?ie=UTF8&amp;field-author=Stephen+Chapman&amp;text=Stephen+Chapman&amp;sort=relevancerank&amp;search-alias=books" TargetMode="External"/><Relationship Id="rId15" Type="http://schemas.openxmlformats.org/officeDocument/2006/relationships/hyperlink" Target="https://www.amazon.com/s/ref=dp_byline_sr_book_2?ie=UTF8&amp;field-author=Grace+Robinson&amp;text=Grace+Robinson&amp;sort=relevancerank&amp;search-alias=books" TargetMode="External"/><Relationship Id="rId16" Type="http://schemas.openxmlformats.org/officeDocument/2006/relationships/hyperlink" Target="https://www.amazon.com/s/ref=dp_byline_sr_book_3?ie=UTF8&amp;field-author=John+Stradling&amp;text=John+Stradling&amp;sort=relevancerank&amp;search-alias=books" TargetMode="External"/><Relationship Id="rId17" Type="http://schemas.openxmlformats.org/officeDocument/2006/relationships/hyperlink" Target="https://www.amazon.com/s/ref=dp_byline_sr_book_4?ie=UTF8&amp;field-author=Sophie+West&amp;text=Sophie+West&amp;sort=relevancerank&amp;search-alias=books" TargetMode="External"/><Relationship Id="rId18" Type="http://schemas.openxmlformats.org/officeDocument/2006/relationships/hyperlink" Target="about:blank" TargetMode="External"/><Relationship Id="rId19" Type="http://schemas.openxmlformats.org/officeDocument/2006/relationships/hyperlink" Target="about:blank" TargetMode="External"/><Relationship Id="rId20" Type="http://schemas.openxmlformats.org/officeDocument/2006/relationships/hyperlink" Target="https://www.amazon.com/s/ref=dp_byline_sr_book_1?ie=UTF8&amp;field-author=Senior+Lecturer+in+Haematology+Drew+Provan&amp;text=Senior+Lecturer+in+Haematology+Drew+Provan&amp;sort=relevancerank&amp;search-alias=books" TargetMode="External"/><Relationship Id="rId21" Type="http://schemas.openxmlformats.org/officeDocument/2006/relationships/hyperlink" Target="https://www.amazon.com/John-Wass/e/B09TPKHF5L/ref=dp_byline_cont_book_1" TargetMode="External"/><Relationship Id="rId22" Type="http://schemas.openxmlformats.org/officeDocument/2006/relationships/hyperlink" Target="https://www.amazon.com/s/ref=dp_byline_sr_book_2?ie=UTF8&amp;field-author=Wiebke+Arlt&amp;text=Wiebke+Arlt&amp;sort=relevancerank&amp;search-alias=books" TargetMode="External"/><Relationship Id="rId23" Type="http://schemas.openxmlformats.org/officeDocument/2006/relationships/hyperlink" Target="https://www.amazon.com/s/ref=dp_byline_sr_book_3?ie=UTF8&amp;field-author=Robert+Semple&amp;text=Robert+Semple&amp;sort=relevancerank&amp;search-alias=books" TargetMode="External"/><Relationship Id="rId24" Type="http://schemas.openxmlformats.org/officeDocument/2006/relationships/hyperlink" Target="https://www.amazon.com/s/ref=dp_byline_sr_book_1?ie=UTF8&amp;field-author=Anthony+Fauci&amp;text=Anthony+Fauci&amp;sort=relevancerank&amp;search-alias=books" TargetMode="External"/><Relationship Id="rId25" Type="http://schemas.openxmlformats.org/officeDocument/2006/relationships/hyperlink" Target="https://www.amazon.com/s/ref=dp_byline_sr_book_2?ie=UTF8&amp;field-author=Carol+Langford&amp;text=Carol+Langford&amp;sort=relevancerank&amp;search-alias=books" TargetMode="External"/><Relationship Id="rId26" Type="http://schemas.openxmlformats.org/officeDocument/2006/relationships/hyperlink" Target="about:blank" TargetMode="External"/><Relationship Id="rId27" Type="http://schemas.openxmlformats.org/officeDocument/2006/relationships/hyperlink" Target="about:blank" TargetMode="External"/><Relationship Id="rId28" Type="http://schemas.openxmlformats.org/officeDocument/2006/relationships/hyperlink" Target="about:blank" TargetMode="External"/><Relationship Id="rId29" Type="http://schemas.openxmlformats.org/officeDocument/2006/relationships/hyperlink" Target="about:blank" TargetMode="External"/><Relationship Id="rId30" Type="http://schemas.openxmlformats.org/officeDocument/2006/relationships/hyperlink" Target="http://www.uptodate.com/" TargetMode="External"/><Relationship Id="rId31" Type="http://schemas.openxmlformats.org/officeDocument/2006/relationships/hyperlink" Target="http://www.ncbi.nlm.nih.gov/PubMed/" TargetMode="External"/><Relationship Id="rId32" Type="http://schemas.openxmlformats.org/officeDocument/2006/relationships/hyperlink" Target="http://www.medline.com/" TargetMode="External"/><Relationship Id="rId33" Type="http://schemas.openxmlformats.org/officeDocument/2006/relationships/hyperlink" Target="https://medelement.com/" TargetMode="External"/><Relationship Id="rId34" Type="http://schemas.openxmlformats.org/officeDocument/2006/relationships/hyperlink" Target="https://www.cochranelibrary.com/" TargetMode="External"/><Relationship Id="rId35" Type="http://schemas.openxmlformats.org/officeDocument/2006/relationships/hyperlink" Target="https://www.medscape.com/familymedicine" TargetMode="External"/><Relationship Id="rId36" Type="http://schemas.openxmlformats.org/officeDocument/2006/relationships/hyperlink" Target="https://oxfordmedicine.com/" TargetMode="External"/><Relationship Id="rId37" Type="http://schemas.openxmlformats.org/officeDocument/2006/relationships/hyperlink" Target="about:blank" TargetMode="External"/><Relationship Id="rId38" Type="http://schemas.openxmlformats.org/officeDocument/2006/relationships/hyperlink" Target="https://www.wolterskluwer.com/en/solutions/uptodate" TargetMode="External"/><Relationship Id="rId39" Type="http://schemas.openxmlformats.org/officeDocument/2006/relationships/hyperlink" Target="https://www.youtube.com/c/osmosis" TargetMode="External"/><Relationship Id="rId40" Type="http://schemas.openxmlformats.org/officeDocument/2006/relationships/hyperlink" Target="https://www.youtube.com/c/NinjaNerdScience/videos" TargetMode="External"/><Relationship Id="rId41" Type="http://schemas.openxmlformats.org/officeDocument/2006/relationships/hyperlink" Target="https://www.youtube.com/c/CorMedicale" TargetMode="External"/><Relationship Id="rId42" Type="http://schemas.openxmlformats.org/officeDocument/2006/relationships/hyperlink" Target="https://www.youtube.com/channel/UCbYmF43dpGHz8gi2ugiXr0Q" TargetMode="External"/><Relationship Id="rId43" Type="http://schemas.openxmlformats.org/officeDocument/2006/relationships/hyperlink" Target="https://www.youtube.com/c/SciDrugs/videos" TargetMode="External"/><Relationship Id="rId44" Type="http://schemas.openxmlformats.org/officeDocument/2006/relationships/hyperlink" Target="https://univer.kaznu.kz/Content/instructions/&#1040;&#1082;&#1072;&#1076;&#1077;&#1084;&#1080;&#1095;&#1077;&#1089;&#1082;&#1072;&#1103; &#1087;&#1086;&#1083;&#1080;&#1090;&#1080;&#1082;&#1072;.pdf" TargetMode="External"/><Relationship Id="rId45" Type="http://schemas.openxmlformats.org/officeDocument/2006/relationships/hyperlink" Target="https://univer.kaznu.kz/Content/instructions/&#1055;&#1086;&#1083;&#1080;&#1090;&#1080;&#1082;&#1072; &#1072;&#1082;&#1072;&#1076;&#1077;&#1084;&#1080;&#1095;&#1077;&#1089;&#1082;&#1086;&#1081; &#1095;&#1077;&#1089;&#1090;&#1085;&#1086;&#1089;&#1090;&#1080;.pdf" TargetMode="External"/><Relationship Id="rId46" Type="http://schemas.openxmlformats.org/officeDocument/2006/relationships/hyperlink" Target="https://univer.kaznu.kz/Content/instructions/&#1055;&#1088;&#1072;&#1074;&#1080;&#1083;&#1072; &#1087;&#1088;&#1086;&#1074;&#1077;&#1076;&#1077;&#1085;&#1080;&#1103; &#1080;&#1090;&#1086;&#1075;&#1086;&#1074;&#1086;&#1075;&#1086; &#1082;&#1086;&#1085;&#1090;&#1088;&#1086;&#1083;&#1103; &#1051;&#1069;&#1057; 2022-2023 &#1091;&#1095;&#1075;&#1086;&#1076; &#1088;&#1091;&#1089;&#1103;&#1079;&#1099;&#1082;&#1077;.pdf" TargetMode="External"/><Relationship Id="rId47" Type="http://schemas.openxmlformats.org/officeDocument/2006/relationships/hyperlink" Target="https://univer.kaznu.kz/Content/instructions/&#1048;&#1085;&#1089;&#1090;&#1088;&#1091;&#1082;&#1094;&#1080;&#1103; &#1076;&#1083;&#1103; &#1080;&#1090;&#1086;&#1075;&#1086;&#1074;&#1086;&#1075;&#1086; &#1082;&#1086;&#1085;&#1090;&#1088;&#1086;&#1083;&#1103; &#1074;&#1077;&#1089;&#1077;&#1085;&#1085;&#1077;&#1075;&#1086; &#1089;&#1077;&#1084;&#1077;&#1089;&#1090;&#1088;&#1072; 2022-2023.pdf" TargetMode="External"/><Relationship Id="rId48" Type="http://schemas.openxmlformats.org/officeDocument/2006/relationships/hyperlink" Target="https://univer.kaznu.kz/Content/instructions/&#1055;&#1086;&#1083;&#1086;&#1078;&#1077;&#1085;&#1080;&#1077; &#1086; &#1087;&#1088;&#1086;&#1074;&#1077;&#1088;&#1082;&#1077; &#1085;&#1072; &#1085;&#1072;&#1083;&#1080;&#1095;&#1080;&#1077; &#1079;&#1072;&#1080;&#1084;&#1089;&#1090;&#1074;&#1086;&#1074;&#1072;&#1085;&#1080;&#1081; ru.pdf" TargetMode="External"/><Relationship Id="rId49" Type="http://schemas.openxmlformats.org/officeDocument/2006/relationships/numbering" Target="numbering.xml"/><Relationship Id="rId50" Type="http://schemas.openxmlformats.org/officeDocument/2006/relationships/fontTable" Target="fontTable.xml"/><Relationship Id="rId51" Type="http://schemas.openxmlformats.org/officeDocument/2006/relationships/settings" Target="settings.xml"/><Relationship Id="rId52" Type="http://schemas.openxmlformats.org/officeDocument/2006/relationships/theme" Target="theme/theme1.xml"/><Relationship Id="rId5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uEnc31ULzNvDhTNg0oBavtqpMAg==">CgMxLjAyCGguZ2pkZ3hzMgloLjMwajB6bGw4AHIhMVNCc3JZbFIzRm9CS3NUa2tmeW5TVGp2dEM5YTBTQWcz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LibreOffice/7.3.7.2$Linux_X86_64 LibreOffice_project/30$Build-2</Application>
  <AppVersion>15.0000</AppVersion>
  <Pages>12</Pages>
  <Words>4850</Words>
  <Characters>32845</Characters>
  <CharactersWithSpaces>37040</CharactersWithSpaces>
  <Paragraphs>1017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2023-05-25T16:38:00Z</dcterms:created>
  <dc:creator>Дюсенбина Инна</dc:creator>
  <dc:description/>
  <dc:language>ru-RU</dc:language>
  <cp:lastModifiedBy/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